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82" w:type="dxa"/>
        <w:jc w:val="center"/>
        <w:tblLook w:val="01E0" w:firstRow="1" w:lastRow="1" w:firstColumn="1" w:lastColumn="1" w:noHBand="0" w:noVBand="0"/>
      </w:tblPr>
      <w:tblGrid>
        <w:gridCol w:w="9782"/>
      </w:tblGrid>
      <w:tr w:rsidR="00EE244C" w:rsidRPr="00096769" w14:paraId="6F538B7D" w14:textId="77777777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F538B7A" w14:textId="77777777"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</w:rPr>
            </w:pPr>
          </w:p>
          <w:p w14:paraId="2044BACE" w14:textId="27227697" w:rsidR="00EE244C" w:rsidRDefault="00777B89" w:rsidP="003664EF">
            <w:pPr>
              <w:pStyle w:val="Default"/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>
              <w:rPr>
                <w:rFonts w:ascii="Calibri" w:hAnsi="Calibri" w:cstheme="minorHAnsi"/>
                <w:b/>
                <w:sz w:val="22"/>
                <w:szCs w:val="22"/>
              </w:rPr>
              <w:t>Student Business</w:t>
            </w:r>
            <w:r w:rsidR="00EE244C" w:rsidRPr="00096769">
              <w:rPr>
                <w:rFonts w:ascii="Calibri" w:hAnsi="Calibri" w:cstheme="minorHAnsi"/>
                <w:b/>
                <w:sz w:val="22"/>
                <w:szCs w:val="22"/>
              </w:rPr>
              <w:t xml:space="preserve"> Briefing Note</w:t>
            </w:r>
            <w:r w:rsidR="00F3466F" w:rsidRPr="0009676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:</w:t>
            </w:r>
            <w: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</w:t>
            </w:r>
            <w:r w:rsidR="003664EF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PGR External Examiner Nomination</w:t>
            </w:r>
            <w:r w:rsidR="00F12358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/Appointment</w:t>
            </w:r>
            <w:r w:rsidR="003664EF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 </w:t>
            </w:r>
            <w:r w:rsidR="00DD3C71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(003)</w:t>
            </w:r>
            <w:bookmarkStart w:id="0" w:name="_GoBack"/>
            <w:bookmarkEnd w:id="0"/>
          </w:p>
          <w:p w14:paraId="6F538B7C" w14:textId="4C20C57A" w:rsidR="003664EF" w:rsidRPr="00096769" w:rsidRDefault="003664EF" w:rsidP="003664EF">
            <w:pPr>
              <w:pStyle w:val="Default"/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023C4B" w:rsidRPr="00096769" w14:paraId="6F538B81" w14:textId="77777777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538B7E" w14:textId="77777777" w:rsidR="00023C4B" w:rsidRPr="00096769" w:rsidRDefault="00023C4B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14:paraId="6F538B7F" w14:textId="0ABD42B5" w:rsidR="00023C4B" w:rsidRPr="00096769" w:rsidRDefault="00023C4B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9676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Date of Issue: </w:t>
            </w:r>
            <w:r w:rsidR="00E54AA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21</w:t>
            </w:r>
            <w:r w:rsidR="003664EF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/0</w:t>
            </w:r>
            <w:r w:rsidR="00E54AA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6</w:t>
            </w:r>
            <w:r w:rsidR="003664EF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/17</w:t>
            </w:r>
          </w:p>
          <w:p w14:paraId="6F538B80" w14:textId="77777777" w:rsidR="00023C4B" w:rsidRPr="00096769" w:rsidRDefault="00023C4B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EE244C" w:rsidRPr="00096769" w14:paraId="6F538B85" w14:textId="77777777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538B82" w14:textId="77777777"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14:paraId="6F538B83" w14:textId="11A1973B" w:rsidR="00EE244C" w:rsidRPr="00096769" w:rsidRDefault="00EE244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  <w:r w:rsidRPr="0009676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Rationale: </w:t>
            </w:r>
            <w:r w:rsidR="003664EF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To comply with </w:t>
            </w:r>
            <w:r w:rsidR="00AB175D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Home Office regulations regarding Right to Work in the UK</w:t>
            </w:r>
          </w:p>
          <w:p w14:paraId="6F538B84" w14:textId="77777777" w:rsidR="00EE244C" w:rsidRPr="00096769" w:rsidRDefault="00EE244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</w:tc>
      </w:tr>
      <w:tr w:rsidR="00EE244C" w:rsidRPr="00096769" w14:paraId="6F538B89" w14:textId="77777777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38B86" w14:textId="77777777"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14:paraId="6F538B87" w14:textId="77777777" w:rsidR="00EE244C" w:rsidRPr="00096769" w:rsidRDefault="00A91F35" w:rsidP="0014356C">
            <w:pPr>
              <w:rPr>
                <w:rFonts w:ascii="Calibri" w:hAnsi="Calibri" w:cstheme="minorHAnsi"/>
                <w:i/>
                <w:sz w:val="22"/>
                <w:szCs w:val="22"/>
                <w:lang w:eastAsia="en-GB"/>
              </w:rPr>
            </w:pPr>
            <w:r w:rsidRPr="0009676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Intention of Briefing Note</w:t>
            </w:r>
            <w:r w:rsidR="00EE244C" w:rsidRPr="0009676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 xml:space="preserve">: </w:t>
            </w:r>
            <w:r w:rsidR="00777B8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For Information and action where appropriate</w:t>
            </w:r>
          </w:p>
          <w:p w14:paraId="6F538B88" w14:textId="77777777" w:rsidR="00EE244C" w:rsidRPr="00096769" w:rsidRDefault="00EE244C" w:rsidP="0014356C">
            <w:pPr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</w:p>
        </w:tc>
      </w:tr>
      <w:tr w:rsidR="00EE244C" w:rsidRPr="00096769" w14:paraId="6F538B8D" w14:textId="77777777" w:rsidTr="00CC066D">
        <w:trPr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8B8A" w14:textId="77777777" w:rsidR="0014356C" w:rsidRPr="00096769" w:rsidRDefault="0014356C" w:rsidP="0014356C">
            <w:pPr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</w:pPr>
          </w:p>
          <w:p w14:paraId="6F538B8B" w14:textId="4DF64623" w:rsidR="00EE244C" w:rsidRPr="00096769" w:rsidRDefault="00EE244C" w:rsidP="0014356C">
            <w:pPr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  <w:r w:rsidRPr="00096769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Briefing Note issued by</w:t>
            </w:r>
            <w:r w:rsidRPr="00096769">
              <w:rPr>
                <w:rFonts w:ascii="Calibri" w:hAnsi="Calibri" w:cstheme="minorHAnsi"/>
                <w:i/>
                <w:sz w:val="22"/>
                <w:szCs w:val="22"/>
                <w:lang w:eastAsia="en-GB"/>
              </w:rPr>
              <w:t xml:space="preserve">: </w:t>
            </w:r>
            <w:r w:rsidR="00AB175D">
              <w:rPr>
                <w:rFonts w:ascii="Calibri" w:hAnsi="Calibri" w:cstheme="minorHAnsi"/>
                <w:b/>
                <w:sz w:val="22"/>
                <w:szCs w:val="22"/>
                <w:lang w:eastAsia="en-GB"/>
              </w:rPr>
              <w:t>Margaret Blackwood</w:t>
            </w:r>
          </w:p>
          <w:p w14:paraId="6F538B8C" w14:textId="77777777" w:rsidR="00EE244C" w:rsidRPr="00096769" w:rsidRDefault="00EE244C" w:rsidP="0014356C">
            <w:pPr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</w:p>
        </w:tc>
      </w:tr>
      <w:tr w:rsidR="00EE244C" w:rsidRPr="00096769" w14:paraId="6F538B99" w14:textId="77777777" w:rsidTr="00CC066D">
        <w:trPr>
          <w:trHeight w:val="2039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8B8E" w14:textId="77777777" w:rsidR="00460D1D" w:rsidRPr="00096769" w:rsidRDefault="00460D1D" w:rsidP="003745A5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</w:p>
          <w:p w14:paraId="0F2FD5FC" w14:textId="75A66B34" w:rsidR="00AB175D" w:rsidRDefault="00F12358" w:rsidP="00AB175D">
            <w:pPr>
              <w:autoSpaceDE w:val="0"/>
              <w:autoSpaceDN w:val="0"/>
              <w:adjustRightInd w:val="0"/>
              <w:rPr>
                <w:rFonts w:cs="Arial"/>
                <w:color w:val="1F4E79"/>
              </w:rPr>
            </w:pPr>
            <w:r>
              <w:rPr>
                <w:rFonts w:cs="Arial"/>
                <w:color w:val="1F4E79"/>
              </w:rPr>
              <w:t xml:space="preserve">We have been advised by the </w:t>
            </w:r>
            <w:r w:rsidR="00AB175D">
              <w:rPr>
                <w:rFonts w:cs="Arial"/>
                <w:color w:val="1F4E79"/>
              </w:rPr>
              <w:t xml:space="preserve">University HR department </w:t>
            </w:r>
            <w:r>
              <w:rPr>
                <w:rFonts w:cs="Arial"/>
                <w:color w:val="1F4E79"/>
              </w:rPr>
              <w:t xml:space="preserve">that </w:t>
            </w:r>
            <w:r w:rsidR="00937E89">
              <w:rPr>
                <w:rFonts w:cs="Arial"/>
                <w:color w:val="1F4E79"/>
              </w:rPr>
              <w:t>our</w:t>
            </w:r>
            <w:r w:rsidR="00AB175D">
              <w:rPr>
                <w:rFonts w:cs="Arial"/>
                <w:color w:val="1F4E79"/>
              </w:rPr>
              <w:t xml:space="preserve"> previous practice of obtaining a declaration of Right to Work in the UK at </w:t>
            </w:r>
            <w:r w:rsidR="00937E89">
              <w:rPr>
                <w:rFonts w:cs="Arial"/>
                <w:color w:val="1F4E79"/>
              </w:rPr>
              <w:t>appointment</w:t>
            </w:r>
            <w:r w:rsidR="00AB175D">
              <w:rPr>
                <w:rFonts w:cs="Arial"/>
                <w:color w:val="1F4E79"/>
              </w:rPr>
              <w:t xml:space="preserve"> stage, followed by verification of Right to Work in the UK when the external examiner attends the viva, </w:t>
            </w:r>
            <w:r>
              <w:rPr>
                <w:rFonts w:cs="Arial"/>
                <w:color w:val="1F4E79"/>
              </w:rPr>
              <w:t xml:space="preserve">does not comply with Home Office regulations. </w:t>
            </w:r>
            <w:r w:rsidR="00AB175D">
              <w:rPr>
                <w:rFonts w:cs="Arial"/>
                <w:color w:val="1F4E79"/>
              </w:rPr>
              <w:t xml:space="preserve">As such, the declaration has been removed from the </w:t>
            </w:r>
            <w:r w:rsidR="004B5139">
              <w:rPr>
                <w:rFonts w:cs="Arial"/>
                <w:color w:val="1F4E79"/>
              </w:rPr>
              <w:t xml:space="preserve">external examiner </w:t>
            </w:r>
            <w:r w:rsidR="00732BDB">
              <w:rPr>
                <w:rFonts w:cs="Arial"/>
                <w:color w:val="1F4E79"/>
              </w:rPr>
              <w:t xml:space="preserve">appointment </w:t>
            </w:r>
            <w:r w:rsidR="00AB175D">
              <w:rPr>
                <w:rFonts w:cs="Arial"/>
                <w:color w:val="1F4E79"/>
              </w:rPr>
              <w:t xml:space="preserve">form.  </w:t>
            </w:r>
          </w:p>
          <w:p w14:paraId="2282E85A" w14:textId="77777777" w:rsidR="00AB175D" w:rsidRDefault="00AB175D" w:rsidP="00AB175D">
            <w:pPr>
              <w:autoSpaceDE w:val="0"/>
              <w:autoSpaceDN w:val="0"/>
              <w:adjustRightInd w:val="0"/>
              <w:rPr>
                <w:rFonts w:cs="Arial"/>
                <w:color w:val="1F4E79"/>
              </w:rPr>
            </w:pPr>
          </w:p>
          <w:p w14:paraId="6F538B94" w14:textId="42709603" w:rsidR="00777B89" w:rsidRDefault="00AB175D" w:rsidP="003745A5">
            <w:pPr>
              <w:autoSpaceDE w:val="0"/>
              <w:autoSpaceDN w:val="0"/>
              <w:adjustRightInd w:val="0"/>
              <w:rPr>
                <w:rFonts w:cs="Arial"/>
                <w:color w:val="1F4E79"/>
              </w:rPr>
            </w:pPr>
            <w:r>
              <w:rPr>
                <w:rFonts w:cs="Arial"/>
                <w:color w:val="1F4E79"/>
              </w:rPr>
              <w:t>In accordance with Home Office</w:t>
            </w:r>
            <w:r w:rsidR="001219DF">
              <w:rPr>
                <w:rFonts w:cs="Arial"/>
                <w:color w:val="1F4E79"/>
              </w:rPr>
              <w:t xml:space="preserve"> regulations as laid out in </w:t>
            </w:r>
            <w:hyperlink r:id="rId11" w:history="1">
              <w:r w:rsidRPr="001219DF">
                <w:rPr>
                  <w:rStyle w:val="Hyperlink"/>
                  <w:rFonts w:cs="Arial"/>
                </w:rPr>
                <w:t xml:space="preserve">“An employer’s guide </w:t>
              </w:r>
              <w:r w:rsidR="001219DF" w:rsidRPr="001219DF">
                <w:rPr>
                  <w:rStyle w:val="Hyperlink"/>
                  <w:rFonts w:cs="Arial"/>
                </w:rPr>
                <w:t>to right to work checks”</w:t>
              </w:r>
            </w:hyperlink>
            <w:r w:rsidR="001219DF">
              <w:rPr>
                <w:rFonts w:cs="Arial"/>
                <w:color w:val="1F4E79"/>
              </w:rPr>
              <w:t xml:space="preserve">, the host department/work requestor must carry out a right to work check </w:t>
            </w:r>
            <w:r w:rsidR="001219DF" w:rsidRPr="001219DF">
              <w:rPr>
                <w:rFonts w:cs="Arial"/>
                <w:b/>
                <w:color w:val="1F4E79"/>
              </w:rPr>
              <w:t>before</w:t>
            </w:r>
            <w:r w:rsidR="001219DF">
              <w:rPr>
                <w:rFonts w:cs="Arial"/>
                <w:color w:val="1F4E79"/>
              </w:rPr>
              <w:t xml:space="preserve"> a person is employed, to ensure that they are legally allowed to do the work in question. In the case of an external examiner the right to work check should </w:t>
            </w:r>
            <w:r w:rsidR="00937E89">
              <w:rPr>
                <w:rFonts w:cs="Arial"/>
                <w:color w:val="1F4E79"/>
              </w:rPr>
              <w:t xml:space="preserve">now </w:t>
            </w:r>
            <w:r w:rsidR="001219DF">
              <w:rPr>
                <w:rFonts w:cs="Arial"/>
                <w:color w:val="1F4E79"/>
              </w:rPr>
              <w:t xml:space="preserve">be carried out </w:t>
            </w:r>
            <w:r w:rsidR="00732BDB">
              <w:rPr>
                <w:rFonts w:cs="Arial"/>
                <w:color w:val="1F4E79"/>
              </w:rPr>
              <w:t xml:space="preserve">by the host department </w:t>
            </w:r>
            <w:r w:rsidR="00937E89">
              <w:rPr>
                <w:rFonts w:cs="Arial"/>
                <w:color w:val="1F4E79"/>
              </w:rPr>
              <w:t>at the nomination stage</w:t>
            </w:r>
            <w:r w:rsidR="004B5139">
              <w:rPr>
                <w:rFonts w:cs="Arial"/>
                <w:color w:val="1F4E79"/>
              </w:rPr>
              <w:t xml:space="preserve">, </w:t>
            </w:r>
            <w:r w:rsidR="00937E89" w:rsidRPr="00E54AA9">
              <w:rPr>
                <w:rFonts w:cs="Arial"/>
                <w:color w:val="1F4E79"/>
              </w:rPr>
              <w:t>before</w:t>
            </w:r>
            <w:r w:rsidR="00937E89">
              <w:rPr>
                <w:rFonts w:cs="Arial"/>
                <w:color w:val="1F4E79"/>
              </w:rPr>
              <w:t xml:space="preserve"> the appointment is made</w:t>
            </w:r>
            <w:r w:rsidR="004B5139">
              <w:rPr>
                <w:rFonts w:cs="Arial"/>
                <w:color w:val="1F4E79"/>
              </w:rPr>
              <w:t xml:space="preserve">, and before the thesis is sent to the external examiner. </w:t>
            </w:r>
            <w:r w:rsidR="00937E89">
              <w:rPr>
                <w:rFonts w:cs="Arial"/>
                <w:color w:val="1F4E79"/>
              </w:rPr>
              <w:t xml:space="preserve">For further information and guidance please refer to the </w:t>
            </w:r>
            <w:hyperlink r:id="rId12" w:history="1">
              <w:r w:rsidR="00937E89" w:rsidRPr="00937E89">
                <w:rPr>
                  <w:rStyle w:val="Hyperlink"/>
                  <w:rFonts w:cs="Arial"/>
                </w:rPr>
                <w:t>University website</w:t>
              </w:r>
            </w:hyperlink>
            <w:r w:rsidR="00937E89">
              <w:rPr>
                <w:rFonts w:cs="Arial"/>
                <w:color w:val="1F4E79"/>
              </w:rPr>
              <w:t xml:space="preserve"> and our </w:t>
            </w:r>
            <w:hyperlink r:id="rId13" w:history="1">
              <w:r w:rsidR="00937E89" w:rsidRPr="00937E89">
                <w:rPr>
                  <w:rStyle w:val="Hyperlink"/>
                  <w:rFonts w:cs="Arial"/>
                </w:rPr>
                <w:t>SharePoint site</w:t>
              </w:r>
            </w:hyperlink>
            <w:r w:rsidR="00937E89">
              <w:rPr>
                <w:rFonts w:cs="Arial"/>
                <w:color w:val="1F4E79"/>
              </w:rPr>
              <w:t xml:space="preserve">. </w:t>
            </w:r>
            <w:r w:rsidR="001219DF">
              <w:rPr>
                <w:rFonts w:cs="Arial"/>
                <w:color w:val="1F4E79"/>
              </w:rPr>
              <w:t xml:space="preserve"> </w:t>
            </w:r>
          </w:p>
          <w:p w14:paraId="040D7EB7" w14:textId="77777777" w:rsidR="00AB175D" w:rsidRDefault="00AB175D" w:rsidP="003745A5">
            <w:pPr>
              <w:autoSpaceDE w:val="0"/>
              <w:autoSpaceDN w:val="0"/>
              <w:adjustRightInd w:val="0"/>
              <w:rPr>
                <w:rFonts w:cs="Arial"/>
                <w:color w:val="1F4E79"/>
              </w:rPr>
            </w:pPr>
          </w:p>
          <w:p w14:paraId="6F538B95" w14:textId="59761353" w:rsidR="003745A5" w:rsidRPr="00096769" w:rsidRDefault="00AB175D" w:rsidP="003745A5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  <w:r>
              <w:rPr>
                <w:rFonts w:cs="Arial"/>
                <w:color w:val="1F4E79"/>
              </w:rPr>
              <w:t>This change is effective immediately.</w:t>
            </w:r>
          </w:p>
          <w:p w14:paraId="6F538B97" w14:textId="77777777" w:rsidR="00BF0031" w:rsidRPr="00096769" w:rsidRDefault="00BF0031" w:rsidP="003745A5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</w:p>
          <w:p w14:paraId="6F538B98" w14:textId="77777777" w:rsidR="003745A5" w:rsidRPr="00096769" w:rsidRDefault="003745A5" w:rsidP="00BF0031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</w:p>
        </w:tc>
      </w:tr>
      <w:tr w:rsidR="00BF0031" w:rsidRPr="00096769" w14:paraId="6F538B9B" w14:textId="77777777" w:rsidTr="00BF0031">
        <w:trPr>
          <w:trHeight w:val="574"/>
          <w:jc w:val="center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B9A" w14:textId="5A36129B" w:rsidR="00BF0031" w:rsidRPr="00096769" w:rsidRDefault="00BF0031" w:rsidP="00AB175D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2"/>
                <w:szCs w:val="22"/>
                <w:lang w:eastAsia="en-GB"/>
              </w:rPr>
            </w:pPr>
            <w:r w:rsidRPr="00096769">
              <w:rPr>
                <w:rFonts w:ascii="Calibri" w:hAnsi="Calibri" w:cstheme="minorHAnsi"/>
                <w:sz w:val="22"/>
                <w:szCs w:val="22"/>
                <w:lang w:eastAsia="en-GB"/>
              </w:rPr>
              <w:t>If you have any queries please contact:</w:t>
            </w:r>
            <w:r w:rsidR="00777B89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 </w:t>
            </w:r>
            <w:r w:rsidR="00AB175D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Margaret Blackwood: </w:t>
            </w:r>
            <w:hyperlink r:id="rId14" w:history="1">
              <w:r w:rsidR="00AB175D" w:rsidRPr="005F6A27">
                <w:rPr>
                  <w:rStyle w:val="Hyperlink"/>
                  <w:rFonts w:ascii="Calibri" w:hAnsi="Calibri" w:cstheme="minorHAnsi"/>
                  <w:lang w:eastAsia="en-GB"/>
                </w:rPr>
                <w:t>margaret.blackwood@strath.ac.uk</w:t>
              </w:r>
            </w:hyperlink>
            <w:r w:rsidR="00AB175D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 , </w:t>
            </w:r>
            <w:proofErr w:type="spellStart"/>
            <w:r w:rsidR="00AB175D">
              <w:rPr>
                <w:rFonts w:ascii="Calibri" w:hAnsi="Calibri" w:cstheme="minorHAnsi"/>
                <w:sz w:val="22"/>
                <w:szCs w:val="22"/>
                <w:lang w:eastAsia="en-GB"/>
              </w:rPr>
              <w:t>ext</w:t>
            </w:r>
            <w:proofErr w:type="spellEnd"/>
            <w:r w:rsidR="00AB175D">
              <w:rPr>
                <w:rFonts w:ascii="Calibri" w:hAnsi="Calibri" w:cstheme="minorHAnsi"/>
                <w:sz w:val="22"/>
                <w:szCs w:val="22"/>
                <w:lang w:eastAsia="en-GB"/>
              </w:rPr>
              <w:t xml:space="preserve"> 2903</w:t>
            </w:r>
          </w:p>
        </w:tc>
      </w:tr>
    </w:tbl>
    <w:p w14:paraId="6F538B9C" w14:textId="77777777" w:rsidR="00F269D3" w:rsidRPr="00096769" w:rsidRDefault="00F269D3" w:rsidP="0014356C">
      <w:pPr>
        <w:rPr>
          <w:rFonts w:ascii="Calibri" w:hAnsi="Calibri" w:cstheme="minorHAnsi"/>
        </w:rPr>
      </w:pPr>
    </w:p>
    <w:sectPr w:rsidR="00F269D3" w:rsidRPr="00096769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2C0B" w14:textId="77777777" w:rsidR="006612BC" w:rsidRDefault="006612BC" w:rsidP="003D752F">
      <w:pPr>
        <w:spacing w:after="0" w:line="240" w:lineRule="auto"/>
      </w:pPr>
      <w:r>
        <w:separator/>
      </w:r>
    </w:p>
  </w:endnote>
  <w:endnote w:type="continuationSeparator" w:id="0">
    <w:p w14:paraId="2CD6B06B" w14:textId="77777777" w:rsidR="006612BC" w:rsidRDefault="006612BC" w:rsidP="003D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38BA2" w14:textId="77777777" w:rsidR="007D0F91" w:rsidRPr="00CC066D" w:rsidRDefault="00CC066D" w:rsidP="00CC066D">
    <w:pPr>
      <w:pStyle w:val="Footer"/>
      <w:rPr>
        <w:color w:val="808080" w:themeColor="background1" w:themeShade="80"/>
      </w:rPr>
    </w:pPr>
    <w:r w:rsidRPr="00CC066D">
      <w:rPr>
        <w:color w:val="808080" w:themeColor="background1" w:themeShade="80"/>
      </w:rPr>
      <w:fldChar w:fldCharType="begin"/>
    </w:r>
    <w:r w:rsidRPr="00CC066D">
      <w:rPr>
        <w:color w:val="808080" w:themeColor="background1" w:themeShade="80"/>
      </w:rPr>
      <w:instrText xml:space="preserve"> FILENAME  \p  \* MERGEFORMAT </w:instrText>
    </w:r>
    <w:r w:rsidRPr="00CC066D">
      <w:rPr>
        <w:color w:val="808080" w:themeColor="background1" w:themeShade="80"/>
      </w:rPr>
      <w:fldChar w:fldCharType="separate"/>
    </w:r>
    <w:r w:rsidR="00460D1D">
      <w:rPr>
        <w:noProof/>
        <w:color w:val="808080" w:themeColor="background1" w:themeShade="80"/>
      </w:rPr>
      <w:t>I:</w:t>
    </w:r>
    <w:r w:rsidR="006D54DC" w:rsidRPr="006D54DC">
      <w:t xml:space="preserve"> </w:t>
    </w:r>
    <w:r w:rsidR="006D54DC" w:rsidRPr="006D54DC">
      <w:rPr>
        <w:noProof/>
        <w:color w:val="808080" w:themeColor="background1" w:themeShade="80"/>
      </w:rPr>
      <w:t>https://moss.strath.ac.uk/inst/studentlifecycle/studentbusiness/SitePages/Home.aspx</w:t>
    </w:r>
    <w:r w:rsidRPr="00CC066D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E49A6" w14:textId="77777777" w:rsidR="006612BC" w:rsidRDefault="006612BC" w:rsidP="003D752F">
      <w:pPr>
        <w:spacing w:after="0" w:line="240" w:lineRule="auto"/>
      </w:pPr>
      <w:r>
        <w:separator/>
      </w:r>
    </w:p>
  </w:footnote>
  <w:footnote w:type="continuationSeparator" w:id="0">
    <w:p w14:paraId="3C0737D6" w14:textId="77777777" w:rsidR="006612BC" w:rsidRDefault="006612BC" w:rsidP="003D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38BA1" w14:textId="77777777" w:rsidR="003D752F" w:rsidRPr="00A10CB8" w:rsidRDefault="007D0F91" w:rsidP="003D752F">
    <w:pPr>
      <w:pStyle w:val="Header"/>
      <w:tabs>
        <w:tab w:val="clear" w:pos="4513"/>
        <w:tab w:val="clear" w:pos="9026"/>
        <w:tab w:val="left" w:pos="6789"/>
      </w:tabs>
      <w:rPr>
        <w:color w:val="808080" w:themeColor="background1" w:themeShade="80"/>
        <w:sz w:val="48"/>
        <w:szCs w:val="48"/>
      </w:rPr>
    </w:pPr>
    <w:r w:rsidRPr="007D0F91">
      <w:rPr>
        <w:noProof/>
        <w:color w:val="808080" w:themeColor="background1" w:themeShade="80"/>
        <w:sz w:val="48"/>
        <w:szCs w:val="48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538BA3" wp14:editId="6F538BA4">
              <wp:simplePos x="0" y="0"/>
              <wp:positionH relativeFrom="column">
                <wp:posOffset>-428625</wp:posOffset>
              </wp:positionH>
              <wp:positionV relativeFrom="paragraph">
                <wp:posOffset>817245</wp:posOffset>
              </wp:positionV>
              <wp:extent cx="4422140" cy="4838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140" cy="483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38BA7" w14:textId="77777777" w:rsidR="007D0F91" w:rsidRDefault="00777B89">
                          <w:r>
                            <w:rPr>
                              <w:color w:val="808080" w:themeColor="background1" w:themeShade="80"/>
                              <w:sz w:val="48"/>
                              <w:szCs w:val="48"/>
                            </w:rPr>
                            <w:t>Student Business</w:t>
                          </w:r>
                          <w:r w:rsidR="007D0F91" w:rsidRPr="00A10CB8">
                            <w:rPr>
                              <w:color w:val="808080" w:themeColor="background1" w:themeShade="80"/>
                              <w:sz w:val="48"/>
                              <w:szCs w:val="48"/>
                            </w:rPr>
                            <w:t xml:space="preserve"> Briefing Note</w:t>
                          </w:r>
                        </w:p>
                        <w:p w14:paraId="6F538BA8" w14:textId="77777777" w:rsidR="007D0F91" w:rsidRDefault="007D0F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38B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75pt;margin-top:64.35pt;width:348.2pt;height:3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" stroked="f">
              <v:textbox>
                <w:txbxContent>
                  <w:p w14:paraId="6F538BA7" w14:textId="77777777" w:rsidR="007D0F91" w:rsidRDefault="00777B89">
                    <w:r>
                      <w:rPr>
                        <w:color w:val="808080" w:themeColor="background1" w:themeShade="80"/>
                        <w:sz w:val="48"/>
                        <w:szCs w:val="48"/>
                      </w:rPr>
                      <w:t>Student Business</w:t>
                    </w:r>
                    <w:r w:rsidR="007D0F91" w:rsidRPr="00A10CB8">
                      <w:rPr>
                        <w:color w:val="808080" w:themeColor="background1" w:themeShade="80"/>
                        <w:sz w:val="48"/>
                        <w:szCs w:val="48"/>
                      </w:rPr>
                      <w:t xml:space="preserve"> Briefing Note</w:t>
                    </w:r>
                  </w:p>
                  <w:p w14:paraId="6F538BA8" w14:textId="77777777" w:rsidR="007D0F91" w:rsidRDefault="007D0F91"/>
                </w:txbxContent>
              </v:textbox>
              <w10:wrap type="square"/>
            </v:shape>
          </w:pict>
        </mc:Fallback>
      </mc:AlternateContent>
    </w:r>
    <w:r w:rsidR="003D752F" w:rsidRPr="00A10CB8">
      <w:rPr>
        <w:b/>
        <w:noProof/>
        <w:color w:val="808080" w:themeColor="background1" w:themeShade="80"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 wp14:anchorId="6F538BA5" wp14:editId="6F538BA6">
          <wp:simplePos x="0" y="0"/>
          <wp:positionH relativeFrom="column">
            <wp:posOffset>-895350</wp:posOffset>
          </wp:positionH>
          <wp:positionV relativeFrom="paragraph">
            <wp:posOffset>-449580</wp:posOffset>
          </wp:positionV>
          <wp:extent cx="7109460" cy="1753870"/>
          <wp:effectExtent l="0" t="0" r="0" b="0"/>
          <wp:wrapTight wrapText="bothSides">
            <wp:wrapPolygon edited="0">
              <wp:start x="0" y="0"/>
              <wp:lineTo x="0" y="21350"/>
              <wp:lineTo x="21531" y="21350"/>
              <wp:lineTo x="21531" y="0"/>
              <wp:lineTo x="0" y="0"/>
            </wp:wrapPolygon>
          </wp:wrapTight>
          <wp:docPr id="10" name="Picture 10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46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52F" w:rsidRPr="00A10CB8">
      <w:rPr>
        <w:color w:val="808080" w:themeColor="background1" w:themeShade="80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F541C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765B80"/>
    <w:multiLevelType w:val="hybridMultilevel"/>
    <w:tmpl w:val="151A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F1C22"/>
    <w:multiLevelType w:val="hybridMultilevel"/>
    <w:tmpl w:val="3470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2F"/>
    <w:rsid w:val="00011CC1"/>
    <w:rsid w:val="00023C4B"/>
    <w:rsid w:val="00096769"/>
    <w:rsid w:val="000C02F0"/>
    <w:rsid w:val="000E28E8"/>
    <w:rsid w:val="00117236"/>
    <w:rsid w:val="001219DF"/>
    <w:rsid w:val="00123261"/>
    <w:rsid w:val="0014356C"/>
    <w:rsid w:val="002208C6"/>
    <w:rsid w:val="002E25D6"/>
    <w:rsid w:val="002E7825"/>
    <w:rsid w:val="0031726C"/>
    <w:rsid w:val="00357023"/>
    <w:rsid w:val="003664EF"/>
    <w:rsid w:val="003745A5"/>
    <w:rsid w:val="003D752F"/>
    <w:rsid w:val="003F7256"/>
    <w:rsid w:val="004544DA"/>
    <w:rsid w:val="00460D1D"/>
    <w:rsid w:val="004B5139"/>
    <w:rsid w:val="00561349"/>
    <w:rsid w:val="005C4D62"/>
    <w:rsid w:val="006612BC"/>
    <w:rsid w:val="006740E1"/>
    <w:rsid w:val="006D54DC"/>
    <w:rsid w:val="00732BDB"/>
    <w:rsid w:val="00750A57"/>
    <w:rsid w:val="00770148"/>
    <w:rsid w:val="00777B89"/>
    <w:rsid w:val="007D0F91"/>
    <w:rsid w:val="007E5CCA"/>
    <w:rsid w:val="00845245"/>
    <w:rsid w:val="008779B7"/>
    <w:rsid w:val="00937E89"/>
    <w:rsid w:val="0098743A"/>
    <w:rsid w:val="009D0FAF"/>
    <w:rsid w:val="009D7202"/>
    <w:rsid w:val="009E1B49"/>
    <w:rsid w:val="00A017EB"/>
    <w:rsid w:val="00A10CB8"/>
    <w:rsid w:val="00A3349D"/>
    <w:rsid w:val="00A91F35"/>
    <w:rsid w:val="00AB175D"/>
    <w:rsid w:val="00B21E0C"/>
    <w:rsid w:val="00BB1140"/>
    <w:rsid w:val="00BB3B74"/>
    <w:rsid w:val="00BF0031"/>
    <w:rsid w:val="00C21D4B"/>
    <w:rsid w:val="00C243AD"/>
    <w:rsid w:val="00C43951"/>
    <w:rsid w:val="00C5681D"/>
    <w:rsid w:val="00CA0B6E"/>
    <w:rsid w:val="00CC066D"/>
    <w:rsid w:val="00D34523"/>
    <w:rsid w:val="00D50FF4"/>
    <w:rsid w:val="00DD3C71"/>
    <w:rsid w:val="00E54AA9"/>
    <w:rsid w:val="00EE244C"/>
    <w:rsid w:val="00F12358"/>
    <w:rsid w:val="00F23638"/>
    <w:rsid w:val="00F269D3"/>
    <w:rsid w:val="00F3466F"/>
    <w:rsid w:val="00F775F9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38B7A"/>
  <w15:docId w15:val="{9A959CD5-7CB7-42A7-82C6-761953E4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CB8"/>
  </w:style>
  <w:style w:type="paragraph" w:styleId="Heading1">
    <w:name w:val="heading 1"/>
    <w:basedOn w:val="Normal"/>
    <w:next w:val="Normal"/>
    <w:link w:val="Heading1Char"/>
    <w:uiPriority w:val="9"/>
    <w:qFormat/>
    <w:rsid w:val="00A10CB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CB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CB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CB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CB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CB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CB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CB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CB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D752F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3D752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D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5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52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6C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0CB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CB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CB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CB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CB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CB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CB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CB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CB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0CB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10CB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10CB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CB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CB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A10CB8"/>
    <w:rPr>
      <w:b/>
      <w:bCs/>
    </w:rPr>
  </w:style>
  <w:style w:type="character" w:styleId="Emphasis">
    <w:name w:val="Emphasis"/>
    <w:basedOn w:val="DefaultParagraphFont"/>
    <w:uiPriority w:val="20"/>
    <w:qFormat/>
    <w:rsid w:val="00A10CB8"/>
    <w:rPr>
      <w:i/>
      <w:iCs/>
    </w:rPr>
  </w:style>
  <w:style w:type="paragraph" w:styleId="NoSpacing">
    <w:name w:val="No Spacing"/>
    <w:uiPriority w:val="1"/>
    <w:qFormat/>
    <w:rsid w:val="00A10C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0CB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A10CB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CB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CB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10C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10C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10CB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0CB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A10CB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CB8"/>
    <w:pPr>
      <w:outlineLvl w:val="9"/>
    </w:pPr>
  </w:style>
  <w:style w:type="paragraph" w:customStyle="1" w:styleId="Default">
    <w:name w:val="Default"/>
    <w:rsid w:val="008779B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ss.strath.ac.uk/inst/studentlifecycle/exams/SitePages/PGR%20EE%20fees%20and%20expenses.aspx?WikiPageMode=Edit&amp;InitialTabId=Ribbon.EditingTools.CPEditTab&amp;VisibilityContext=WSSWikiPag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rath.ac.uk/exams/externalexaminers-postgraduateresearch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uploads/system/uploads/attachment_data/file/571001/Employer_s_guide_to_right_to_work_check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garet.blackwood@strat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48EFF-2B75-44D1-8867-7F53816A0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A0EADB-7A53-4E1B-A6B3-1EA996B89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041A5-13CB-4888-8395-1D2447196F9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388FE7-148D-4EA7-A986-B6D70DE3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Giselle McGill</cp:lastModifiedBy>
  <cp:revision>3</cp:revision>
  <cp:lastPrinted>2014-12-11T16:38:00Z</cp:lastPrinted>
  <dcterms:created xsi:type="dcterms:W3CDTF">2017-06-22T09:17:00Z</dcterms:created>
  <dcterms:modified xsi:type="dcterms:W3CDTF">2017-06-22T09:21:00Z</dcterms:modified>
</cp:coreProperties>
</file>