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BD" w:rsidRDefault="006B67B2" w:rsidP="00056631">
      <w:pPr>
        <w:jc w:val="center"/>
        <w:rPr>
          <w:b/>
        </w:rPr>
      </w:pPr>
      <w:r>
        <w:rPr>
          <w:b/>
        </w:rPr>
        <w:t>Accountability and Development Review</w:t>
      </w:r>
      <w:r w:rsidR="005E38E9" w:rsidRPr="005E38E9">
        <w:rPr>
          <w:b/>
        </w:rPr>
        <w:t xml:space="preserve"> 2018</w:t>
      </w:r>
    </w:p>
    <w:p w:rsidR="000F1F96" w:rsidRPr="000F1F96" w:rsidRDefault="00056631" w:rsidP="00056631">
      <w:pPr>
        <w:jc w:val="center"/>
        <w:rPr>
          <w:b/>
        </w:rPr>
      </w:pPr>
      <w:r>
        <w:rPr>
          <w:b/>
        </w:rPr>
        <w:t xml:space="preserve">Quick reference guide for </w:t>
      </w:r>
      <w:r w:rsidR="000F1F96">
        <w:rPr>
          <w:b/>
        </w:rPr>
        <w:t xml:space="preserve">Reviewers </w:t>
      </w:r>
      <w:r w:rsidR="006B67B2">
        <w:rPr>
          <w:b/>
        </w:rPr>
        <w:t>within the Faculty of Science</w:t>
      </w:r>
    </w:p>
    <w:p w:rsidR="000F1F96" w:rsidRPr="00A123CF" w:rsidRDefault="000F1F96" w:rsidP="00A123CF">
      <w:pPr>
        <w:pStyle w:val="ListParagraph"/>
        <w:numPr>
          <w:ilvl w:val="0"/>
          <w:numId w:val="22"/>
        </w:numPr>
        <w:shd w:val="clear" w:color="auto" w:fill="BFBFBF" w:themeFill="background1" w:themeFillShade="BF"/>
        <w:ind w:hanging="720"/>
        <w:rPr>
          <w:b/>
        </w:rPr>
      </w:pPr>
      <w:r w:rsidRPr="00A123CF">
        <w:rPr>
          <w:b/>
        </w:rPr>
        <w:t>Purpose of ADR</w:t>
      </w:r>
    </w:p>
    <w:p w:rsidR="00F03334" w:rsidRDefault="00056631" w:rsidP="00F701DF">
      <w:pPr>
        <w:pStyle w:val="ListParagraph"/>
        <w:numPr>
          <w:ilvl w:val="0"/>
          <w:numId w:val="4"/>
        </w:numPr>
      </w:pPr>
      <w:r>
        <w:t>An o</w:t>
      </w:r>
      <w:r w:rsidR="000F1F96">
        <w:t>pportunity for staff members to have a focused, structured conversation with their line manager on their performance and development within the review period</w:t>
      </w:r>
      <w:r w:rsidR="00A123CF">
        <w:t xml:space="preserve"> and plans for the period ahead</w:t>
      </w:r>
      <w:r w:rsidR="00292D4D">
        <w:t>.</w:t>
      </w:r>
      <w:r w:rsidR="00F03334">
        <w:t xml:space="preserve">  </w:t>
      </w:r>
      <w:r w:rsidR="00B25C73">
        <w:t xml:space="preserve">ADR discussions should cover performance review, objective setting and </w:t>
      </w:r>
      <w:r w:rsidR="003E23CB">
        <w:t xml:space="preserve">professional </w:t>
      </w:r>
      <w:r w:rsidR="00B25C73">
        <w:t xml:space="preserve">development. </w:t>
      </w:r>
    </w:p>
    <w:p w:rsidR="000F1F96" w:rsidRDefault="00292D4D" w:rsidP="00F701DF">
      <w:pPr>
        <w:pStyle w:val="ListParagraph"/>
        <w:numPr>
          <w:ilvl w:val="0"/>
          <w:numId w:val="4"/>
        </w:numPr>
      </w:pPr>
      <w:r>
        <w:t>S</w:t>
      </w:r>
      <w:r w:rsidR="000F1F96">
        <w:t>et objectives for the forthcoming review period which are challenging, achievable and relevant to University strategy</w:t>
      </w:r>
      <w:r w:rsidR="00F03334">
        <w:t xml:space="preserve"> and </w:t>
      </w:r>
      <w:r w:rsidR="003E23CB">
        <w:t>d</w:t>
      </w:r>
      <w:r w:rsidR="00F03334">
        <w:t xml:space="preserve">epartmental </w:t>
      </w:r>
      <w:r w:rsidR="003E23CB">
        <w:t>o</w:t>
      </w:r>
      <w:r w:rsidR="00F03334">
        <w:t>bjectives</w:t>
      </w:r>
      <w:r w:rsidR="000F1F96">
        <w:t xml:space="preserve">.  </w:t>
      </w:r>
    </w:p>
    <w:p w:rsidR="00292D4D" w:rsidRDefault="00056631" w:rsidP="00F701DF">
      <w:pPr>
        <w:pStyle w:val="ListParagraph"/>
        <w:numPr>
          <w:ilvl w:val="0"/>
          <w:numId w:val="4"/>
        </w:numPr>
        <w:spacing w:after="0"/>
      </w:pPr>
      <w:r>
        <w:t>F</w:t>
      </w:r>
      <w:r w:rsidR="00292D4D">
        <w:t>eedback</w:t>
      </w:r>
      <w:r>
        <w:t xml:space="preserve"> should be</w:t>
      </w:r>
      <w:r w:rsidR="00292D4D">
        <w:t xml:space="preserve"> given on </w:t>
      </w:r>
      <w:r w:rsidR="003E23CB">
        <w:t>successes as well as</w:t>
      </w:r>
      <w:r w:rsidR="00292D4D">
        <w:t xml:space="preserve"> areas for development.</w:t>
      </w:r>
      <w:r w:rsidR="00B25C73">
        <w:t xml:space="preserve"> </w:t>
      </w:r>
      <w:r w:rsidR="00F701DF">
        <w:t xml:space="preserve"> ADR s</w:t>
      </w:r>
      <w:r w:rsidR="00B25C73">
        <w:t>hould complement ongoing development discussions which will take place on a regular basis</w:t>
      </w:r>
      <w:r w:rsidR="003E23CB">
        <w:t>:</w:t>
      </w:r>
      <w:r w:rsidR="00B25C73">
        <w:t xml:space="preserve"> an</w:t>
      </w:r>
      <w:r w:rsidR="003E23CB">
        <w:t>y</w:t>
      </w:r>
      <w:r w:rsidR="00B25C73">
        <w:t xml:space="preserve"> concern raised regarding performance should not be a surprise. </w:t>
      </w:r>
    </w:p>
    <w:p w:rsidR="00790655" w:rsidRDefault="00790655" w:rsidP="00F701DF">
      <w:pPr>
        <w:pStyle w:val="ListParagraph"/>
        <w:numPr>
          <w:ilvl w:val="0"/>
          <w:numId w:val="4"/>
        </w:numPr>
      </w:pPr>
      <w:r>
        <w:t xml:space="preserve">The </w:t>
      </w:r>
      <w:r w:rsidR="000E354C">
        <w:t>R</w:t>
      </w:r>
      <w:r>
        <w:t>eviewers play a key role in ensuring that all of these elements are captured</w:t>
      </w:r>
      <w:r w:rsidR="003E23CB">
        <w:t>,</w:t>
      </w:r>
      <w:r>
        <w:t xml:space="preserve"> ensure that objectives </w:t>
      </w:r>
      <w:r w:rsidR="003E23CB">
        <w:t xml:space="preserve">set </w:t>
      </w:r>
      <w:r>
        <w:t>will support departmental plans</w:t>
      </w:r>
      <w:r w:rsidR="003E23CB">
        <w:t>,</w:t>
      </w:r>
      <w:r>
        <w:t xml:space="preserve"> and that staff are developed to reach their full potential.  </w:t>
      </w:r>
    </w:p>
    <w:p w:rsidR="000F1F96" w:rsidRPr="000F1F96" w:rsidRDefault="003E23CB" w:rsidP="000F1F96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056631">
        <w:rPr>
          <w:b/>
        </w:rPr>
        <w:t xml:space="preserve">Key areas of </w:t>
      </w:r>
      <w:r w:rsidR="000F1F96" w:rsidRPr="000F1F96">
        <w:rPr>
          <w:b/>
        </w:rPr>
        <w:t>focus for</w:t>
      </w:r>
      <w:r w:rsidR="00056631">
        <w:rPr>
          <w:b/>
        </w:rPr>
        <w:t xml:space="preserve"> ADR in</w:t>
      </w:r>
      <w:r w:rsidR="000F1F96" w:rsidRPr="000F1F96">
        <w:rPr>
          <w:b/>
        </w:rPr>
        <w:t xml:space="preserve"> 2018</w:t>
      </w:r>
    </w:p>
    <w:p w:rsidR="00056631" w:rsidRDefault="00056631" w:rsidP="000436F2">
      <w:pPr>
        <w:pStyle w:val="ListParagraph"/>
        <w:numPr>
          <w:ilvl w:val="0"/>
          <w:numId w:val="1"/>
        </w:numPr>
      </w:pPr>
      <w:r>
        <w:t>Having a meaningful one to one discussion is the most critical part of the ADR process.</w:t>
      </w:r>
    </w:p>
    <w:p w:rsidR="00056631" w:rsidRDefault="00056631" w:rsidP="000436F2">
      <w:pPr>
        <w:pStyle w:val="ListParagraph"/>
        <w:numPr>
          <w:ilvl w:val="0"/>
          <w:numId w:val="1"/>
        </w:numPr>
      </w:pPr>
      <w:r>
        <w:t xml:space="preserve">The forms summarising the discussion should be concise and focussed. </w:t>
      </w:r>
    </w:p>
    <w:p w:rsidR="005E38E9" w:rsidRDefault="00F701DF" w:rsidP="000436F2">
      <w:pPr>
        <w:pStyle w:val="ListParagraph"/>
        <w:numPr>
          <w:ilvl w:val="0"/>
          <w:numId w:val="1"/>
        </w:numPr>
      </w:pPr>
      <w:r>
        <w:t>Emphasis</w:t>
      </w:r>
      <w:r>
        <w:t xml:space="preserve"> </w:t>
      </w:r>
      <w:r w:rsidR="00292D4D">
        <w:t>should be on</w:t>
      </w:r>
      <w:r w:rsidR="00F078DF">
        <w:t xml:space="preserve"> </w:t>
      </w:r>
      <w:r w:rsidR="003E23CB">
        <w:t xml:space="preserve">setting </w:t>
      </w:r>
      <w:r w:rsidR="00F078DF">
        <w:t xml:space="preserve">quality objectives </w:t>
      </w:r>
      <w:r w:rsidR="000436F2">
        <w:t xml:space="preserve">with clear tasks and targets to be achieved within an identified timescale.   </w:t>
      </w:r>
      <w:r w:rsidR="00F078DF">
        <w:t xml:space="preserve"> </w:t>
      </w:r>
    </w:p>
    <w:p w:rsidR="00056631" w:rsidRDefault="00056631" w:rsidP="004062E8">
      <w:pPr>
        <w:pStyle w:val="ListParagraph"/>
        <w:numPr>
          <w:ilvl w:val="0"/>
          <w:numId w:val="1"/>
        </w:numPr>
      </w:pPr>
      <w:r>
        <w:t xml:space="preserve">ADR forms should be returned by reviewers if the quality is poor. If necessary more than one discussion can take place, and </w:t>
      </w:r>
      <w:r w:rsidR="006451EE">
        <w:t xml:space="preserve">the </w:t>
      </w:r>
      <w:r>
        <w:t>form may need to be passed back and forth a few times to ensure it is of an acceptable quality.</w:t>
      </w:r>
    </w:p>
    <w:p w:rsidR="00790655" w:rsidRDefault="00292D4D" w:rsidP="004062E8">
      <w:pPr>
        <w:pStyle w:val="ListParagraph"/>
        <w:numPr>
          <w:ilvl w:val="0"/>
          <w:numId w:val="1"/>
        </w:numPr>
      </w:pPr>
      <w:r>
        <w:t xml:space="preserve">ADR links into a range of other procedures </w:t>
      </w:r>
      <w:r w:rsidR="000E354C">
        <w:t xml:space="preserve">such as </w:t>
      </w:r>
      <w:r>
        <w:t xml:space="preserve">promotion, probation, </w:t>
      </w:r>
      <w:r w:rsidR="000E354C">
        <w:t xml:space="preserve">and </w:t>
      </w:r>
      <w:r>
        <w:t xml:space="preserve">contribution pay. </w:t>
      </w:r>
      <w:r w:rsidR="000E354C">
        <w:t xml:space="preserve"> R</w:t>
      </w:r>
      <w:r>
        <w:t xml:space="preserve">eviewers and </w:t>
      </w:r>
      <w:r w:rsidR="000E354C">
        <w:t>R</w:t>
      </w:r>
      <w:r>
        <w:t xml:space="preserve">eviewees should be fully aware that quality of </w:t>
      </w:r>
      <w:r w:rsidR="003E23CB">
        <w:t xml:space="preserve">the </w:t>
      </w:r>
      <w:r>
        <w:t xml:space="preserve">ADR </w:t>
      </w:r>
      <w:r w:rsidR="003E23CB">
        <w:t xml:space="preserve">form </w:t>
      </w:r>
      <w:r>
        <w:t>will have a direct bearing on th</w:t>
      </w:r>
      <w:r w:rsidR="003E23CB">
        <w:t>ese</w:t>
      </w:r>
      <w:r>
        <w:t xml:space="preserve">. </w:t>
      </w:r>
    </w:p>
    <w:p w:rsidR="00056631" w:rsidRDefault="00056631" w:rsidP="000E555B">
      <w:pPr>
        <w:pStyle w:val="ListParagraph"/>
        <w:numPr>
          <w:ilvl w:val="0"/>
          <w:numId w:val="1"/>
        </w:numPr>
      </w:pPr>
      <w:r>
        <w:t xml:space="preserve">For academic staff, ADR should reflect the breadth of academic activity including student facing and KE activity and citizenship as well as research performance. </w:t>
      </w:r>
    </w:p>
    <w:p w:rsidR="000F1F96" w:rsidRPr="00292D4D" w:rsidRDefault="003E23CB" w:rsidP="00292D4D">
      <w:pPr>
        <w:shd w:val="clear" w:color="auto" w:fill="BFBFBF" w:themeFill="background1" w:themeFillShade="BF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292D4D" w:rsidRPr="00292D4D">
        <w:rPr>
          <w:b/>
        </w:rPr>
        <w:t>Departmental Plans</w:t>
      </w:r>
    </w:p>
    <w:p w:rsidR="005A3EA9" w:rsidRDefault="005A3EA9" w:rsidP="005A3EA9">
      <w:pPr>
        <w:pStyle w:val="ListParagraph"/>
        <w:numPr>
          <w:ilvl w:val="0"/>
          <w:numId w:val="6"/>
        </w:numPr>
        <w:spacing w:after="160" w:line="259" w:lineRule="auto"/>
      </w:pPr>
      <w:r w:rsidRPr="005A3EA9">
        <w:t>Outline the current context for the Faculty</w:t>
      </w:r>
      <w:r>
        <w:t xml:space="preserve"> and </w:t>
      </w:r>
      <w:r w:rsidRPr="005A3EA9">
        <w:t>Department including the financial context and the resulting need to grow income and make savings.</w:t>
      </w:r>
      <w:r w:rsidR="00AE0ADC">
        <w:t xml:space="preserve">  This may be adjusted dependant on job family and grade to ensure that it is relevant to the individual </w:t>
      </w:r>
      <w:r w:rsidR="000E354C">
        <w:t>R</w:t>
      </w:r>
      <w:r w:rsidR="00AE0ADC">
        <w:t>eviewee.</w:t>
      </w:r>
    </w:p>
    <w:p w:rsidR="00F701DF" w:rsidRPr="005A3EA9" w:rsidRDefault="00F701DF" w:rsidP="00882762">
      <w:pPr>
        <w:pStyle w:val="ListParagraph"/>
        <w:numPr>
          <w:ilvl w:val="0"/>
          <w:numId w:val="6"/>
        </w:numPr>
        <w:spacing w:line="259" w:lineRule="auto"/>
        <w:ind w:left="357" w:hanging="357"/>
        <w:contextualSpacing w:val="0"/>
      </w:pPr>
      <w:r>
        <w:t>Set the context for the discussion by referring to the relevant departmental objectives / key priority areas and future plans so that the reviewee can understand how their role contributes to delivering these</w:t>
      </w:r>
      <w:r>
        <w:t>.</w:t>
      </w:r>
    </w:p>
    <w:p w:rsidR="00F03334" w:rsidRPr="00F03334" w:rsidRDefault="00083C98" w:rsidP="000E354C">
      <w:pPr>
        <w:pStyle w:val="ListParagraph"/>
        <w:shd w:val="clear" w:color="auto" w:fill="BFBFBF" w:themeFill="background1" w:themeFillShade="BF"/>
        <w:tabs>
          <w:tab w:val="left" w:pos="709"/>
        </w:tabs>
        <w:ind w:left="0"/>
        <w:contextualSpacing w:val="0"/>
        <w:rPr>
          <w:b/>
        </w:rPr>
      </w:pPr>
      <w:r>
        <w:rPr>
          <w:b/>
        </w:rPr>
        <w:t>4.</w:t>
      </w:r>
      <w:r w:rsidR="000E354C">
        <w:rPr>
          <w:b/>
        </w:rPr>
        <w:tab/>
      </w:r>
      <w:r w:rsidR="00F03334" w:rsidRPr="00F03334">
        <w:rPr>
          <w:b/>
        </w:rPr>
        <w:t>Effective Objective Setting</w:t>
      </w:r>
    </w:p>
    <w:p w:rsidR="00D062AB" w:rsidRDefault="00B25C73" w:rsidP="000E354C">
      <w:pPr>
        <w:pStyle w:val="ListParagraph"/>
        <w:numPr>
          <w:ilvl w:val="0"/>
          <w:numId w:val="9"/>
        </w:numPr>
        <w:spacing w:before="200" w:after="0"/>
        <w:ind w:left="357" w:hanging="357"/>
      </w:pPr>
      <w:r>
        <w:t>Focus on quality over</w:t>
      </w:r>
      <w:r w:rsidR="00882762">
        <w:t xml:space="preserve"> quantity in objective setting, i.e. s</w:t>
      </w:r>
      <w:r>
        <w:t xml:space="preserve">et a lower number of high quality objectives </w:t>
      </w:r>
      <w:r w:rsidR="003E23CB">
        <w:t xml:space="preserve">rather than </w:t>
      </w:r>
      <w:r>
        <w:t xml:space="preserve">lots of poorly defined and unmeasurable objectives. </w:t>
      </w:r>
      <w:r w:rsidR="00D062AB">
        <w:t xml:space="preserve"> </w:t>
      </w:r>
      <w:r w:rsidR="009F5C6B">
        <w:t>(Maximum</w:t>
      </w:r>
      <w:r w:rsidR="0052517F">
        <w:t xml:space="preserve"> 8-</w:t>
      </w:r>
      <w:r w:rsidR="009F5C6B">
        <w:t>10 objectives).</w:t>
      </w:r>
    </w:p>
    <w:p w:rsidR="00D062AB" w:rsidRDefault="00D062AB" w:rsidP="00D062AB">
      <w:pPr>
        <w:pStyle w:val="ListParagraph"/>
        <w:numPr>
          <w:ilvl w:val="0"/>
          <w:numId w:val="9"/>
        </w:numPr>
      </w:pPr>
      <w:r>
        <w:t>Objectives</w:t>
      </w:r>
      <w:r w:rsidR="00B25C73">
        <w:t xml:space="preserve"> should be SMART (Smart, Measureable, </w:t>
      </w:r>
      <w:r>
        <w:t>Achievable, Relevant and Time bound).  For academic staff there should</w:t>
      </w:r>
      <w:r w:rsidR="009F5C6B">
        <w:t xml:space="preserve"> normally </w:t>
      </w:r>
      <w:r>
        <w:t xml:space="preserve">be at least 1 objective in each of the areas of Research, Learning and Teaching, Knowledge Exchange and </w:t>
      </w:r>
      <w:r w:rsidR="009F5C6B">
        <w:t>Citizenship.</w:t>
      </w:r>
    </w:p>
    <w:p w:rsidR="00D062AB" w:rsidRPr="00D062AB" w:rsidRDefault="002023CF" w:rsidP="00D062AB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en-GB"/>
        </w:rPr>
        <w:lastRenderedPageBreak/>
        <w:t>I</w:t>
      </w:r>
      <w:r w:rsidR="00D062AB" w:rsidRPr="00D062AB">
        <w:rPr>
          <w:rFonts w:eastAsia="Times New Roman" w:cstheme="minorHAnsi"/>
          <w:color w:val="000000"/>
          <w:lang w:eastAsia="en-GB"/>
        </w:rPr>
        <w:t>t is recommended that member</w:t>
      </w:r>
      <w:r>
        <w:rPr>
          <w:rFonts w:eastAsia="Times New Roman" w:cstheme="minorHAnsi"/>
          <w:color w:val="000000"/>
          <w:lang w:eastAsia="en-GB"/>
        </w:rPr>
        <w:t>s</w:t>
      </w:r>
      <w:r w:rsidR="00D062AB" w:rsidRPr="00D062AB">
        <w:rPr>
          <w:rFonts w:eastAsia="Times New Roman" w:cstheme="minorHAnsi"/>
          <w:color w:val="000000"/>
          <w:lang w:eastAsia="en-GB"/>
        </w:rPr>
        <w:t xml:space="preserve"> of staff in Grade 6 and above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="00D062AB" w:rsidRPr="00D062AB">
        <w:rPr>
          <w:rFonts w:eastAsia="Times New Roman" w:cstheme="minorHAnsi"/>
          <w:color w:val="000000"/>
          <w:lang w:eastAsia="en-GB"/>
        </w:rPr>
        <w:t>include one objective which has an internationalisation dimension where deemed appropriate to the role</w:t>
      </w:r>
      <w:r w:rsidR="009F5C6B">
        <w:rPr>
          <w:rFonts w:eastAsia="Times New Roman" w:cstheme="minorHAnsi"/>
          <w:color w:val="000000"/>
          <w:lang w:eastAsia="en-GB"/>
        </w:rPr>
        <w:t>.</w:t>
      </w:r>
    </w:p>
    <w:p w:rsidR="00D062AB" w:rsidRPr="00083C98" w:rsidRDefault="002023CF" w:rsidP="00D062AB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en-GB"/>
        </w:rPr>
        <w:t xml:space="preserve">Those with </w:t>
      </w:r>
      <w:r w:rsidR="00D062AB" w:rsidRPr="00D062AB">
        <w:rPr>
          <w:rFonts w:eastAsia="Times New Roman" w:cstheme="minorHAnsi"/>
          <w:color w:val="000000"/>
          <w:lang w:eastAsia="en-GB"/>
        </w:rPr>
        <w:t>staff management responsibilit</w:t>
      </w:r>
      <w:r>
        <w:rPr>
          <w:rFonts w:eastAsia="Times New Roman" w:cstheme="minorHAnsi"/>
          <w:color w:val="000000"/>
          <w:lang w:eastAsia="en-GB"/>
        </w:rPr>
        <w:t>ies s</w:t>
      </w:r>
      <w:r w:rsidR="00D062AB" w:rsidRPr="00D062AB">
        <w:rPr>
          <w:rFonts w:eastAsia="Times New Roman" w:cstheme="minorHAnsi"/>
          <w:color w:val="000000"/>
          <w:lang w:eastAsia="en-GB"/>
        </w:rPr>
        <w:t>hould have at least one objective that relates to that aspect of their role</w:t>
      </w:r>
      <w:r w:rsidR="00D062AB">
        <w:rPr>
          <w:rFonts w:eastAsia="Times New Roman" w:cstheme="minorHAnsi"/>
          <w:color w:val="000000"/>
          <w:lang w:eastAsia="en-GB"/>
        </w:rPr>
        <w:t>.</w:t>
      </w:r>
    </w:p>
    <w:p w:rsidR="002023CF" w:rsidRPr="00083C98" w:rsidRDefault="002023CF" w:rsidP="002023CF">
      <w:pPr>
        <w:shd w:val="clear" w:color="auto" w:fill="BFBFBF" w:themeFill="background1" w:themeFillShade="BF"/>
        <w:rPr>
          <w:b/>
        </w:rPr>
      </w:pPr>
      <w:r>
        <w:rPr>
          <w:b/>
        </w:rPr>
        <w:t>5</w:t>
      </w:r>
      <w:r w:rsidRPr="00083C98">
        <w:rPr>
          <w:b/>
        </w:rPr>
        <w:t>.</w:t>
      </w:r>
      <w:r w:rsidR="000E354C">
        <w:rPr>
          <w:b/>
        </w:rPr>
        <w:tab/>
      </w:r>
      <w:r>
        <w:rPr>
          <w:b/>
        </w:rPr>
        <w:t xml:space="preserve">Future plans / Careers aspirations </w:t>
      </w:r>
    </w:p>
    <w:p w:rsidR="0052517F" w:rsidRPr="0052517F" w:rsidRDefault="0052517F" w:rsidP="0052517F">
      <w:pPr>
        <w:pStyle w:val="ListParagraph"/>
        <w:numPr>
          <w:ilvl w:val="0"/>
          <w:numId w:val="4"/>
        </w:numPr>
        <w:jc w:val="both"/>
      </w:pPr>
      <w:r>
        <w:t>E</w:t>
      </w:r>
      <w:r w:rsidRPr="0052517F">
        <w:t xml:space="preserve">xplore plans for </w:t>
      </w:r>
      <w:r>
        <w:t xml:space="preserve">your </w:t>
      </w:r>
      <w:r w:rsidR="000E354C">
        <w:t>R</w:t>
      </w:r>
      <w:r>
        <w:t>eviewee</w:t>
      </w:r>
      <w:r w:rsidR="006451EE">
        <w:t>’</w:t>
      </w:r>
      <w:r>
        <w:t xml:space="preserve">s </w:t>
      </w:r>
      <w:r w:rsidRPr="0052517F">
        <w:t xml:space="preserve">career and particularly intentions for the next 2 or 3 years to allow for planning.  </w:t>
      </w:r>
    </w:p>
    <w:p w:rsidR="0052517F" w:rsidRPr="0052517F" w:rsidRDefault="0052517F" w:rsidP="0052517F">
      <w:pPr>
        <w:pStyle w:val="ListParagraph"/>
        <w:numPr>
          <w:ilvl w:val="0"/>
          <w:numId w:val="4"/>
        </w:numPr>
        <w:jc w:val="both"/>
      </w:pPr>
      <w:r w:rsidRPr="0052517F">
        <w:t xml:space="preserve">For the majority of individuals it is expected that this will </w:t>
      </w:r>
      <w:r w:rsidR="006451EE">
        <w:t xml:space="preserve">allow </w:t>
      </w:r>
      <w:r>
        <w:t>opportunity to discuss development objectives and support (</w:t>
      </w:r>
      <w:r w:rsidR="000E354C">
        <w:t>s</w:t>
      </w:r>
      <w:r>
        <w:t xml:space="preserve">ee section </w:t>
      </w:r>
      <w:r w:rsidR="000E354C">
        <w:t>6</w:t>
      </w:r>
      <w:r>
        <w:t>)</w:t>
      </w:r>
      <w:r w:rsidR="0075091F">
        <w:t>.</w:t>
      </w:r>
    </w:p>
    <w:p w:rsidR="0052517F" w:rsidRDefault="0052517F" w:rsidP="0052517F">
      <w:pPr>
        <w:pStyle w:val="ListParagraph"/>
        <w:numPr>
          <w:ilvl w:val="0"/>
          <w:numId w:val="4"/>
        </w:numPr>
        <w:jc w:val="both"/>
      </w:pPr>
      <w:r w:rsidRPr="0052517F">
        <w:t xml:space="preserve">Where individuals indicate that they would be interested in reducing their working hours or taking flexible retirement they should be encouraged to discuss this with </w:t>
      </w:r>
      <w:r w:rsidR="0075091F">
        <w:t>the HoD</w:t>
      </w:r>
      <w:r w:rsidRPr="0052517F">
        <w:t xml:space="preserve">.   </w:t>
      </w:r>
    </w:p>
    <w:p w:rsidR="0052517F" w:rsidRPr="0052517F" w:rsidRDefault="0052517F" w:rsidP="0052517F">
      <w:pPr>
        <w:pStyle w:val="ListParagraph"/>
        <w:numPr>
          <w:ilvl w:val="0"/>
          <w:numId w:val="4"/>
        </w:numPr>
        <w:jc w:val="both"/>
      </w:pPr>
      <w:r w:rsidRPr="0052517F">
        <w:t>If individuals indicate that they are considering or would consider retirement/leaving:</w:t>
      </w:r>
    </w:p>
    <w:p w:rsidR="0052517F" w:rsidRPr="0052517F" w:rsidRDefault="0075091F" w:rsidP="00545E0F">
      <w:pPr>
        <w:pStyle w:val="ListParagraph"/>
        <w:numPr>
          <w:ilvl w:val="1"/>
          <w:numId w:val="4"/>
        </w:numPr>
        <w:jc w:val="both"/>
      </w:pPr>
      <w:r>
        <w:t>d</w:t>
      </w:r>
      <w:r w:rsidR="0052517F" w:rsidRPr="0052517F">
        <w:t>iscuss potential timescale</w:t>
      </w:r>
    </w:p>
    <w:p w:rsidR="0052517F" w:rsidRPr="0052517F" w:rsidRDefault="0075091F" w:rsidP="00545E0F">
      <w:pPr>
        <w:pStyle w:val="ListParagraph"/>
        <w:numPr>
          <w:ilvl w:val="1"/>
          <w:numId w:val="4"/>
        </w:numPr>
        <w:jc w:val="both"/>
      </w:pPr>
      <w:r>
        <w:t>c</w:t>
      </w:r>
      <w:r w:rsidR="0052517F" w:rsidRPr="0052517F">
        <w:t>onsider</w:t>
      </w:r>
      <w:r>
        <w:t xml:space="preserve"> the possibilty</w:t>
      </w:r>
      <w:r w:rsidR="0052517F" w:rsidRPr="0052517F">
        <w:t xml:space="preserve"> for flexible retirement or similar where transition is needed</w:t>
      </w:r>
    </w:p>
    <w:p w:rsidR="0052517F" w:rsidRDefault="0052517F" w:rsidP="000E354C">
      <w:pPr>
        <w:pStyle w:val="ListParagraph"/>
        <w:numPr>
          <w:ilvl w:val="1"/>
          <w:numId w:val="4"/>
        </w:numPr>
        <w:spacing w:after="0"/>
        <w:ind w:left="1434" w:hanging="357"/>
        <w:jc w:val="both"/>
      </w:pPr>
      <w:r w:rsidRPr="0052517F">
        <w:t xml:space="preserve">A follow up conversation can be arranged with their HoD/HR as required to discuss this further. </w:t>
      </w:r>
    </w:p>
    <w:p w:rsidR="00545E0F" w:rsidRPr="00545E0F" w:rsidRDefault="00545E0F" w:rsidP="00882762">
      <w:pPr>
        <w:pStyle w:val="NormalWeb"/>
        <w:numPr>
          <w:ilvl w:val="0"/>
          <w:numId w:val="4"/>
        </w:numPr>
        <w:spacing w:before="0" w:beforeAutospacing="0" w:after="200" w:afterAutospacing="0"/>
        <w:ind w:left="357" w:hanging="357"/>
        <w:rPr>
          <w:rFonts w:asciiTheme="minorHAnsi" w:hAnsiTheme="minorHAnsi" w:cstheme="minorBidi"/>
          <w:sz w:val="22"/>
          <w:szCs w:val="22"/>
          <w:lang w:eastAsia="en-US"/>
        </w:rPr>
      </w:pPr>
      <w:r w:rsidRPr="00545E0F">
        <w:rPr>
          <w:rFonts w:asciiTheme="minorHAnsi" w:hAnsiTheme="minorHAnsi" w:cstheme="minorBidi"/>
          <w:sz w:val="22"/>
          <w:szCs w:val="22"/>
          <w:lang w:eastAsia="en-US"/>
        </w:rPr>
        <w:t xml:space="preserve">It may become clear through ADR conversations that there </w:t>
      </w:r>
      <w:r w:rsidR="000E354C">
        <w:rPr>
          <w:rFonts w:asciiTheme="minorHAnsi" w:hAnsiTheme="minorHAnsi" w:cstheme="minorBidi"/>
          <w:sz w:val="22"/>
          <w:szCs w:val="22"/>
          <w:lang w:eastAsia="en-US"/>
        </w:rPr>
        <w:t>are</w:t>
      </w:r>
      <w:r w:rsidR="0075091F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545E0F">
        <w:rPr>
          <w:rFonts w:asciiTheme="minorHAnsi" w:hAnsiTheme="minorHAnsi" w:cstheme="minorBidi"/>
          <w:sz w:val="22"/>
          <w:szCs w:val="22"/>
          <w:lang w:eastAsia="en-US"/>
        </w:rPr>
        <w:t>individuals who are currently considering their future at Strathclyde and whether they may wish to take this opportunity to consider alternative career options outside of the University.</w:t>
      </w:r>
      <w:r w:rsidR="000E354C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545E0F">
        <w:rPr>
          <w:rFonts w:asciiTheme="minorHAnsi" w:hAnsiTheme="minorHAnsi" w:cstheme="minorBidi"/>
          <w:sz w:val="22"/>
          <w:szCs w:val="22"/>
          <w:lang w:eastAsia="en-US"/>
        </w:rPr>
        <w:t xml:space="preserve"> In certain circumstances, where an individual wishes to make a personal decision regarding their future employment, there may be the opportunity to facilitate this through mutually agreed severance terms. </w:t>
      </w:r>
      <w:r w:rsidR="000E354C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545E0F">
        <w:rPr>
          <w:rFonts w:asciiTheme="minorHAnsi" w:hAnsiTheme="minorHAnsi" w:cstheme="minorBidi"/>
          <w:sz w:val="22"/>
          <w:szCs w:val="22"/>
          <w:lang w:eastAsia="en-US"/>
        </w:rPr>
        <w:t>This would be considered on a case by case basis taking account of Department requirements su</w:t>
      </w:r>
      <w:r>
        <w:rPr>
          <w:rFonts w:asciiTheme="minorHAnsi" w:hAnsiTheme="minorHAnsi" w:cstheme="minorBidi"/>
          <w:sz w:val="22"/>
          <w:szCs w:val="22"/>
          <w:lang w:eastAsia="en-US"/>
        </w:rPr>
        <w:t>ch as the potential to reshape</w:t>
      </w:r>
      <w:r w:rsidRPr="00545E0F">
        <w:rPr>
          <w:rFonts w:asciiTheme="minorHAnsi" w:hAnsiTheme="minorHAnsi" w:cstheme="minorBidi"/>
          <w:sz w:val="22"/>
          <w:szCs w:val="22"/>
          <w:lang w:eastAsia="en-US"/>
        </w:rPr>
        <w:t xml:space="preserve"> the academic workforce to meet future needs and the ability to create capacity to invest in strategic priority areas.</w:t>
      </w:r>
      <w:r w:rsidR="000E354C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545E0F">
        <w:rPr>
          <w:rFonts w:asciiTheme="minorHAnsi" w:hAnsiTheme="minorHAnsi" w:cstheme="minorBidi"/>
          <w:sz w:val="22"/>
          <w:szCs w:val="22"/>
          <w:lang w:eastAsia="en-US"/>
        </w:rPr>
        <w:t xml:space="preserve"> If this option is raised by a me</w:t>
      </w:r>
      <w:r>
        <w:rPr>
          <w:rFonts w:asciiTheme="minorHAnsi" w:hAnsiTheme="minorHAnsi" w:cstheme="minorBidi"/>
          <w:sz w:val="22"/>
          <w:szCs w:val="22"/>
          <w:lang w:eastAsia="en-US"/>
        </w:rPr>
        <w:t>mber of staff please contact your HR team</w:t>
      </w:r>
      <w:r w:rsidRPr="00545E0F">
        <w:rPr>
          <w:rFonts w:asciiTheme="minorHAnsi" w:hAnsiTheme="minorHAnsi" w:cstheme="minorBidi"/>
          <w:sz w:val="22"/>
          <w:szCs w:val="22"/>
          <w:lang w:eastAsia="en-US"/>
        </w:rPr>
        <w:t xml:space="preserve">. </w:t>
      </w:r>
    </w:p>
    <w:p w:rsidR="0052517F" w:rsidRPr="00083C98" w:rsidRDefault="000E354C" w:rsidP="0052517F">
      <w:pPr>
        <w:shd w:val="clear" w:color="auto" w:fill="BFBFBF" w:themeFill="background1" w:themeFillShade="BF"/>
        <w:rPr>
          <w:b/>
        </w:rPr>
      </w:pPr>
      <w:r>
        <w:rPr>
          <w:b/>
        </w:rPr>
        <w:t>6</w:t>
      </w:r>
      <w:r w:rsidR="0052517F" w:rsidRPr="00083C98">
        <w:rPr>
          <w:b/>
        </w:rPr>
        <w:t>.</w:t>
      </w:r>
      <w:r>
        <w:rPr>
          <w:b/>
        </w:rPr>
        <w:tab/>
      </w:r>
      <w:r w:rsidR="0052517F">
        <w:rPr>
          <w:b/>
        </w:rPr>
        <w:t xml:space="preserve">Professional </w:t>
      </w:r>
      <w:r w:rsidR="00587BCE">
        <w:rPr>
          <w:b/>
        </w:rPr>
        <w:t>D</w:t>
      </w:r>
      <w:r w:rsidR="0052517F">
        <w:rPr>
          <w:b/>
        </w:rPr>
        <w:t>evelopment</w:t>
      </w:r>
    </w:p>
    <w:p w:rsidR="0052517F" w:rsidRDefault="0052517F" w:rsidP="00882762">
      <w:pPr>
        <w:pStyle w:val="ListParagraph"/>
        <w:numPr>
          <w:ilvl w:val="0"/>
          <w:numId w:val="24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You </w:t>
      </w:r>
      <w:bookmarkStart w:id="0" w:name="_GoBack"/>
      <w:r>
        <w:rPr>
          <w:rFonts w:cstheme="minorHAnsi"/>
        </w:rPr>
        <w:t xml:space="preserve">should ensure that the ADR conversation is balanced </w:t>
      </w:r>
      <w:r w:rsidR="00545E0F">
        <w:rPr>
          <w:rFonts w:cstheme="minorHAnsi"/>
        </w:rPr>
        <w:t xml:space="preserve">appropriately </w:t>
      </w:r>
      <w:r>
        <w:rPr>
          <w:rFonts w:cstheme="minorHAnsi"/>
        </w:rPr>
        <w:t xml:space="preserve">to include discussion regarding professional development </w:t>
      </w:r>
      <w:r w:rsidR="00545E0F">
        <w:rPr>
          <w:rFonts w:cstheme="minorHAnsi"/>
        </w:rPr>
        <w:t>both within the existing role and in relation to career development.</w:t>
      </w:r>
    </w:p>
    <w:p w:rsidR="0052517F" w:rsidRDefault="0052517F" w:rsidP="00882762">
      <w:pPr>
        <w:pStyle w:val="ListParagraph"/>
        <w:numPr>
          <w:ilvl w:val="0"/>
          <w:numId w:val="24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Appropriate development objectives and related support should be discussed and agreed. </w:t>
      </w:r>
    </w:p>
    <w:bookmarkEnd w:id="0"/>
    <w:p w:rsidR="009F5C6B" w:rsidRPr="00F03334" w:rsidRDefault="000E354C" w:rsidP="009F5C6B">
      <w:pPr>
        <w:shd w:val="clear" w:color="auto" w:fill="BFBFBF" w:themeFill="background1" w:themeFillShade="BF"/>
        <w:rPr>
          <w:b/>
        </w:rPr>
      </w:pPr>
      <w:r>
        <w:rPr>
          <w:b/>
        </w:rPr>
        <w:t>7</w:t>
      </w:r>
      <w:r w:rsidR="00083C98">
        <w:rPr>
          <w:b/>
        </w:rPr>
        <w:t xml:space="preserve">. </w:t>
      </w:r>
      <w:r>
        <w:rPr>
          <w:b/>
        </w:rPr>
        <w:tab/>
      </w:r>
      <w:r w:rsidR="00F47EA1">
        <w:rPr>
          <w:b/>
        </w:rPr>
        <w:t xml:space="preserve">Expectations for Academic staff </w:t>
      </w:r>
    </w:p>
    <w:p w:rsidR="00D07D87" w:rsidRDefault="00F701DF" w:rsidP="00F47EA1">
      <w:pPr>
        <w:pStyle w:val="ListParagraph"/>
        <w:spacing w:after="80" w:line="256" w:lineRule="auto"/>
        <w:ind w:left="0"/>
      </w:pPr>
      <w:r>
        <w:t>University-level e</w:t>
      </w:r>
      <w:r w:rsidR="00D07D87">
        <w:t xml:space="preserve">xpectations for academic staff ADR reviews </w:t>
      </w:r>
      <w:r w:rsidR="00F47EA1">
        <w:t xml:space="preserve">were </w:t>
      </w:r>
      <w:r w:rsidR="00D07D87">
        <w:t>outlined in the Principal’s ADR launch emai</w:t>
      </w:r>
      <w:r w:rsidR="00F47EA1">
        <w:t>l on the 9 May 2018</w:t>
      </w:r>
      <w:r w:rsidR="00D07D87">
        <w:t xml:space="preserve">:  </w:t>
      </w:r>
    </w:p>
    <w:p w:rsidR="00D07D87" w:rsidRPr="00D07D87" w:rsidRDefault="00D07D87" w:rsidP="00D07D87">
      <w:pPr>
        <w:pStyle w:val="ListParagraph"/>
        <w:numPr>
          <w:ilvl w:val="0"/>
          <w:numId w:val="9"/>
        </w:numPr>
        <w:spacing w:after="80" w:line="256" w:lineRule="auto"/>
      </w:pPr>
      <w:r>
        <w:rPr>
          <w:color w:val="000000"/>
        </w:rPr>
        <w:t>ADR Reviewers of academic colleagues are to take stock of publication quantity and quality, teaching outputs</w:t>
      </w:r>
      <w:r w:rsidR="00F701DF">
        <w:rPr>
          <w:color w:val="000000"/>
        </w:rPr>
        <w:t>,</w:t>
      </w:r>
      <w:r>
        <w:rPr>
          <w:color w:val="000000"/>
        </w:rPr>
        <w:t xml:space="preserve"> and contribution to knowledge exchange and income generation in the context of ensuring that all academic staff are supported in achieving a balanced, high quality performance across research, teaching, knowledge exchange and citizenship.</w:t>
      </w:r>
    </w:p>
    <w:p w:rsidR="00D07D87" w:rsidRDefault="00D07D87" w:rsidP="009F5C6B">
      <w:pPr>
        <w:pStyle w:val="ListParagraph"/>
        <w:numPr>
          <w:ilvl w:val="0"/>
          <w:numId w:val="9"/>
        </w:numPr>
        <w:spacing w:after="80" w:line="256" w:lineRule="auto"/>
      </w:pPr>
      <w:r>
        <w:rPr>
          <w:color w:val="000000"/>
        </w:rPr>
        <w:t xml:space="preserve">All </w:t>
      </w:r>
      <w:r w:rsidR="00F701DF">
        <w:rPr>
          <w:color w:val="000000"/>
        </w:rPr>
        <w:t>a</w:t>
      </w:r>
      <w:r>
        <w:rPr>
          <w:color w:val="000000"/>
        </w:rPr>
        <w:t xml:space="preserve">cademic </w:t>
      </w:r>
      <w:r w:rsidR="00F701DF">
        <w:rPr>
          <w:color w:val="000000"/>
        </w:rPr>
        <w:t>s</w:t>
      </w:r>
      <w:r>
        <w:rPr>
          <w:color w:val="000000"/>
        </w:rPr>
        <w:t>taff will have</w:t>
      </w:r>
      <w:r w:rsidR="006451EE">
        <w:rPr>
          <w:color w:val="000000"/>
        </w:rPr>
        <w:t>,</w:t>
      </w:r>
      <w:r>
        <w:rPr>
          <w:color w:val="000000"/>
        </w:rPr>
        <w:t xml:space="preserve"> or be working towards</w:t>
      </w:r>
      <w:r w:rsidR="006451EE">
        <w:rPr>
          <w:color w:val="000000"/>
        </w:rPr>
        <w:t>,</w:t>
      </w:r>
      <w:r>
        <w:rPr>
          <w:color w:val="000000"/>
        </w:rPr>
        <w:t xml:space="preserve"> a minimum of four high quality publications (pro-rating will apply in some circumstances) during the current REF measurement period.</w:t>
      </w:r>
    </w:p>
    <w:p w:rsidR="00D07D87" w:rsidRPr="00F47EA1" w:rsidRDefault="00D07D87" w:rsidP="00D07D87">
      <w:pPr>
        <w:pStyle w:val="ListParagraph"/>
        <w:numPr>
          <w:ilvl w:val="0"/>
          <w:numId w:val="9"/>
        </w:numPr>
        <w:spacing w:after="80" w:line="256" w:lineRule="auto"/>
      </w:pPr>
      <w:r>
        <w:rPr>
          <w:color w:val="000000"/>
        </w:rPr>
        <w:t>All academic staff will be supervising PhD students.</w:t>
      </w:r>
    </w:p>
    <w:p w:rsidR="00F47EA1" w:rsidRDefault="00F701DF" w:rsidP="00D07D87">
      <w:pPr>
        <w:pStyle w:val="ListParagraph"/>
        <w:numPr>
          <w:ilvl w:val="0"/>
          <w:numId w:val="9"/>
        </w:numPr>
        <w:spacing w:after="80" w:line="256" w:lineRule="auto"/>
      </w:pPr>
      <w:r>
        <w:rPr>
          <w:color w:val="000000"/>
        </w:rPr>
        <w:t>R</w:t>
      </w:r>
      <w:r w:rsidR="00F47EA1">
        <w:rPr>
          <w:color w:val="000000"/>
        </w:rPr>
        <w:t xml:space="preserve">eviewers are also expected to discuss citation metrics during the ADR process. </w:t>
      </w:r>
    </w:p>
    <w:p w:rsidR="00882762" w:rsidRDefault="00882762" w:rsidP="00F701DF">
      <w:pPr>
        <w:spacing w:after="0" w:line="257" w:lineRule="auto"/>
      </w:pPr>
    </w:p>
    <w:p w:rsidR="00F47EA1" w:rsidRDefault="00F47EA1" w:rsidP="00F701DF">
      <w:pPr>
        <w:spacing w:after="0" w:line="257" w:lineRule="auto"/>
      </w:pPr>
      <w:r>
        <w:t>It is acknowledged that r</w:t>
      </w:r>
      <w:r w:rsidR="009F5C6B">
        <w:t xml:space="preserve">esearch expectations are subject dependent and </w:t>
      </w:r>
      <w:r w:rsidR="00083C98">
        <w:t>may</w:t>
      </w:r>
      <w:r w:rsidR="009F5C6B">
        <w:t xml:space="preserve"> vary within a field</w:t>
      </w:r>
      <w:r w:rsidR="00CC76C3">
        <w:t>.</w:t>
      </w:r>
      <w:r w:rsidR="009F5C6B">
        <w:t xml:space="preserve">  </w:t>
      </w:r>
      <w:r>
        <w:t xml:space="preserve">Departmental expectations for academic staff in relation to publications, PGR supervision and </w:t>
      </w:r>
      <w:r w:rsidR="00F701DF">
        <w:t>g</w:t>
      </w:r>
      <w:r>
        <w:t>rant applications and a</w:t>
      </w:r>
      <w:r w:rsidR="00083C98">
        <w:t xml:space="preserve">wards have been outlined </w:t>
      </w:r>
      <w:r>
        <w:t xml:space="preserve">and the 2018 version of these should be used to inform ADR discussions and objective setting.   </w:t>
      </w:r>
    </w:p>
    <w:p w:rsidR="00F47EA1" w:rsidRDefault="00F47EA1" w:rsidP="00F701DF">
      <w:pPr>
        <w:spacing w:after="0" w:line="257" w:lineRule="auto"/>
      </w:pPr>
    </w:p>
    <w:p w:rsidR="00F47EA1" w:rsidRDefault="00882762" w:rsidP="00882762">
      <w:pPr>
        <w:spacing w:line="257" w:lineRule="auto"/>
      </w:pPr>
      <w:r>
        <w:t xml:space="preserve">It should be recognised that, while </w:t>
      </w:r>
      <w:r w:rsidR="00F47EA1">
        <w:t>the</w:t>
      </w:r>
      <w:r w:rsidR="009F5C6B">
        <w:t xml:space="preserve"> overall research performance required by the Faculty needs success</w:t>
      </w:r>
      <w:r w:rsidR="00F47EA1">
        <w:t xml:space="preserve">ful contributions </w:t>
      </w:r>
      <w:r w:rsidR="009F5C6B">
        <w:t>across multiple areas</w:t>
      </w:r>
      <w:r>
        <w:t xml:space="preserve">, </w:t>
      </w:r>
      <w:r w:rsidR="006451EE">
        <w:t xml:space="preserve">an </w:t>
      </w:r>
      <w:r w:rsidR="009F5C6B">
        <w:t>individual</w:t>
      </w:r>
      <w:r w:rsidR="00083C98">
        <w:t xml:space="preserve">’s contribution may be </w:t>
      </w:r>
      <w:r w:rsidR="00F701DF">
        <w:t xml:space="preserve">more </w:t>
      </w:r>
      <w:r w:rsidR="00083C98">
        <w:t>focussed</w:t>
      </w:r>
      <w:r w:rsidR="0075091F">
        <w:t>.</w:t>
      </w:r>
      <w:r w:rsidR="00083C98">
        <w:t xml:space="preserve">  </w:t>
      </w:r>
      <w:r w:rsidR="009F5C6B">
        <w:t xml:space="preserve">For example, supervision of </w:t>
      </w:r>
      <w:r w:rsidR="006451EE">
        <w:t>a</w:t>
      </w:r>
      <w:r w:rsidR="009F5C6B">
        <w:t xml:space="preserve"> high number of overseas PGR students </w:t>
      </w:r>
      <w:r w:rsidR="00F47EA1">
        <w:t>c</w:t>
      </w:r>
      <w:r w:rsidR="009F5C6B">
        <w:t>ould be an alternative contribution to winning grants.</w:t>
      </w:r>
      <w:r w:rsidR="00083C98">
        <w:t xml:space="preserve"> </w:t>
      </w:r>
      <w:r w:rsidR="00F701DF">
        <w:t xml:space="preserve"> </w:t>
      </w:r>
      <w:r w:rsidR="00083C98">
        <w:t>I</w:t>
      </w:r>
      <w:r w:rsidR="00F47EA1">
        <w:t>t is important to b</w:t>
      </w:r>
      <w:r w:rsidR="009F5C6B">
        <w:t>alance wha</w:t>
      </w:r>
      <w:r w:rsidR="00083C98">
        <w:t>t is realistic versus ambitious and e</w:t>
      </w:r>
      <w:r w:rsidR="009F5C6B">
        <w:t>xpectations should be weighted by FTE</w:t>
      </w:r>
      <w:r w:rsidR="00083C98">
        <w:t>.</w:t>
      </w:r>
    </w:p>
    <w:p w:rsidR="00D062AB" w:rsidRPr="00D062AB" w:rsidRDefault="00F701DF" w:rsidP="00D062AB">
      <w:pPr>
        <w:shd w:val="clear" w:color="auto" w:fill="BFBFBF" w:themeFill="background1" w:themeFillShade="BF"/>
        <w:rPr>
          <w:rFonts w:cstheme="minorHAnsi"/>
          <w:b/>
        </w:rPr>
      </w:pPr>
      <w:r>
        <w:rPr>
          <w:rFonts w:cstheme="minorHAnsi"/>
          <w:b/>
        </w:rPr>
        <w:t>8</w:t>
      </w:r>
      <w:r w:rsidR="00083C98">
        <w:rPr>
          <w:rFonts w:cstheme="minorHAnsi"/>
          <w:b/>
        </w:rPr>
        <w:t>.</w:t>
      </w:r>
      <w:r>
        <w:rPr>
          <w:rFonts w:cstheme="minorHAnsi"/>
          <w:b/>
        </w:rPr>
        <w:tab/>
      </w:r>
      <w:r w:rsidR="002023CF">
        <w:rPr>
          <w:rFonts w:cstheme="minorHAnsi"/>
          <w:b/>
        </w:rPr>
        <w:t>P</w:t>
      </w:r>
      <w:r w:rsidR="00083C98">
        <w:rPr>
          <w:rFonts w:cstheme="minorHAnsi"/>
          <w:b/>
        </w:rPr>
        <w:t>erformance concerns</w:t>
      </w:r>
    </w:p>
    <w:p w:rsidR="00F03334" w:rsidRDefault="00083C98" w:rsidP="00083C9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Where p</w:t>
      </w:r>
      <w:r w:rsidR="009F5C6B">
        <w:rPr>
          <w:rFonts w:cstheme="minorHAnsi"/>
        </w:rPr>
        <w:t xml:space="preserve">erformance concerns </w:t>
      </w:r>
      <w:r>
        <w:rPr>
          <w:rFonts w:cstheme="minorHAnsi"/>
        </w:rPr>
        <w:t xml:space="preserve">exist they </w:t>
      </w:r>
      <w:r w:rsidR="00D062AB">
        <w:rPr>
          <w:rFonts w:cstheme="minorHAnsi"/>
        </w:rPr>
        <w:t xml:space="preserve">should be discussed with individuals and </w:t>
      </w:r>
      <w:r w:rsidR="00A414BB">
        <w:rPr>
          <w:rFonts w:cstheme="minorHAnsi"/>
        </w:rPr>
        <w:t xml:space="preserve">comments </w:t>
      </w:r>
      <w:r w:rsidR="009F5C6B">
        <w:rPr>
          <w:rFonts w:cstheme="minorHAnsi"/>
        </w:rPr>
        <w:t>documented</w:t>
      </w:r>
      <w:r w:rsidR="00A414BB">
        <w:rPr>
          <w:rFonts w:cstheme="minorHAnsi"/>
        </w:rPr>
        <w:t xml:space="preserve"> in</w:t>
      </w:r>
      <w:r w:rsidR="00D062AB">
        <w:rPr>
          <w:rFonts w:cstheme="minorHAnsi"/>
        </w:rPr>
        <w:t xml:space="preserve"> the </w:t>
      </w:r>
      <w:r w:rsidR="00A414BB">
        <w:rPr>
          <w:rFonts w:cstheme="minorHAnsi"/>
        </w:rPr>
        <w:t xml:space="preserve">ADR.  </w:t>
      </w:r>
    </w:p>
    <w:p w:rsidR="00083C98" w:rsidRDefault="00083C98" w:rsidP="00083C9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Where possible</w:t>
      </w:r>
      <w:r w:rsidR="00F701DF">
        <w:rPr>
          <w:rFonts w:cstheme="minorHAnsi"/>
        </w:rPr>
        <w:t>,</w:t>
      </w:r>
      <w:r>
        <w:rPr>
          <w:rFonts w:cstheme="minorHAnsi"/>
        </w:rPr>
        <w:t xml:space="preserve"> use factual analysis and provide specific evidence of areas of concern</w:t>
      </w:r>
      <w:r w:rsidR="00F701DF">
        <w:rPr>
          <w:rFonts w:cstheme="minorHAnsi"/>
        </w:rPr>
        <w:t>, e.g.</w:t>
      </w:r>
      <w:r>
        <w:rPr>
          <w:rFonts w:cstheme="minorHAnsi"/>
        </w:rPr>
        <w:t xml:space="preserve"> normal expectation that x publications per year would be published (when no/limited publications have been produced in the last year). </w:t>
      </w:r>
    </w:p>
    <w:p w:rsidR="002B1673" w:rsidRDefault="00083C98" w:rsidP="00083C9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The reasons for underperformance should be explored and support require to improve discussed and agreed.</w:t>
      </w:r>
    </w:p>
    <w:p w:rsidR="00083C98" w:rsidRDefault="00083C98" w:rsidP="00083C9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Clear expectations for the future and measurable objectives set for the review period. </w:t>
      </w:r>
      <w:r w:rsidR="002023CF">
        <w:rPr>
          <w:rFonts w:cstheme="minorHAnsi"/>
        </w:rPr>
        <w:t>(</w:t>
      </w:r>
      <w:r>
        <w:rPr>
          <w:rFonts w:cstheme="minorHAnsi"/>
        </w:rPr>
        <w:t>In some cases it may be necessary to have a separate meeting to discuss and agree these</w:t>
      </w:r>
      <w:r w:rsidR="00545E0F">
        <w:rPr>
          <w:rFonts w:cstheme="minorHAnsi"/>
        </w:rPr>
        <w:t>.</w:t>
      </w:r>
      <w:r w:rsidR="002023CF">
        <w:rPr>
          <w:rFonts w:cstheme="minorHAnsi"/>
        </w:rPr>
        <w:t>)</w:t>
      </w:r>
      <w:r>
        <w:rPr>
          <w:rFonts w:cstheme="minorHAnsi"/>
        </w:rPr>
        <w:t xml:space="preserve">  </w:t>
      </w:r>
    </w:p>
    <w:p w:rsidR="00545E0F" w:rsidRPr="00545E0F" w:rsidRDefault="002023CF" w:rsidP="00F701DF">
      <w:pPr>
        <w:pStyle w:val="ListParagraph"/>
        <w:numPr>
          <w:ilvl w:val="0"/>
          <w:numId w:val="27"/>
        </w:numPr>
        <w:spacing w:after="160" w:line="259" w:lineRule="auto"/>
        <w:ind w:left="426" w:hanging="426"/>
        <w:rPr>
          <w:rStyle w:val="Hyperlink"/>
          <w:rFonts w:cstheme="minorHAnsi"/>
        </w:rPr>
      </w:pPr>
      <w:r>
        <w:rPr>
          <w:rFonts w:cstheme="minorHAnsi"/>
        </w:rPr>
        <w:t xml:space="preserve">Further </w:t>
      </w:r>
      <w:r w:rsidR="00882762">
        <w:rPr>
          <w:rFonts w:cstheme="minorHAnsi"/>
        </w:rPr>
        <w:t>advice</w:t>
      </w:r>
      <w:r>
        <w:rPr>
          <w:rFonts w:cstheme="minorHAnsi"/>
        </w:rPr>
        <w:t xml:space="preserve"> can be found in the </w:t>
      </w:r>
      <w:hyperlink r:id="rId7" w:history="1">
        <w:r>
          <w:rPr>
            <w:rStyle w:val="Hyperlink"/>
            <w:rFonts w:cstheme="minorHAnsi"/>
          </w:rPr>
          <w:t>Guidance Note for Managers managing unsatisfactory performance</w:t>
        </w:r>
      </w:hyperlink>
      <w:r>
        <w:rPr>
          <w:rFonts w:cstheme="minorHAnsi"/>
        </w:rPr>
        <w:t xml:space="preserve"> </w:t>
      </w:r>
      <w:r w:rsidR="00545E0F" w:rsidRPr="00545E0F">
        <w:rPr>
          <w:rFonts w:cstheme="minorHAnsi"/>
        </w:rPr>
        <w:t>and</w:t>
      </w:r>
      <w:r w:rsidR="00545E0F" w:rsidRPr="00FE3EFE">
        <w:rPr>
          <w:sz w:val="20"/>
          <w:szCs w:val="20"/>
        </w:rPr>
        <w:t xml:space="preserve"> </w:t>
      </w:r>
      <w:hyperlink r:id="rId8" w:history="1">
        <w:r w:rsidR="00545E0F" w:rsidRPr="00545E0F">
          <w:rPr>
            <w:rStyle w:val="Hyperlink"/>
            <w:rFonts w:cstheme="minorHAnsi"/>
          </w:rPr>
          <w:t>Guidelines for Heads of Department/School – Supporting Performance Improvement for Academic Staff</w:t>
        </w:r>
      </w:hyperlink>
      <w:r w:rsidR="00545E0F">
        <w:rPr>
          <w:rStyle w:val="Hyperlink"/>
          <w:rFonts w:cstheme="minorHAnsi"/>
        </w:rPr>
        <w:t>.</w:t>
      </w:r>
    </w:p>
    <w:p w:rsidR="002E4691" w:rsidRPr="00882762" w:rsidRDefault="00F701DF" w:rsidP="0088276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</w:t>
      </w:r>
      <w:r w:rsidR="002023CF">
        <w:rPr>
          <w:rFonts w:cstheme="minorHAnsi"/>
        </w:rPr>
        <w:t xml:space="preserve">upport </w:t>
      </w:r>
      <w:r w:rsidR="000073ED">
        <w:rPr>
          <w:rFonts w:cstheme="minorHAnsi"/>
        </w:rPr>
        <w:t xml:space="preserve">can be provided by </w:t>
      </w:r>
      <w:r w:rsidR="002023CF">
        <w:rPr>
          <w:rFonts w:cstheme="minorHAnsi"/>
        </w:rPr>
        <w:t xml:space="preserve">your </w:t>
      </w:r>
      <w:r>
        <w:rPr>
          <w:rFonts w:cstheme="minorHAnsi"/>
        </w:rPr>
        <w:t xml:space="preserve">HoD </w:t>
      </w:r>
      <w:r w:rsidR="000073ED">
        <w:rPr>
          <w:rFonts w:cstheme="minorHAnsi"/>
        </w:rPr>
        <w:t xml:space="preserve">or </w:t>
      </w:r>
      <w:r>
        <w:rPr>
          <w:rFonts w:cstheme="minorHAnsi"/>
        </w:rPr>
        <w:t>HR</w:t>
      </w:r>
      <w:r w:rsidR="000073ED">
        <w:rPr>
          <w:rFonts w:cstheme="minorHAnsi"/>
        </w:rPr>
        <w:t>.</w:t>
      </w:r>
    </w:p>
    <w:p w:rsidR="00B25C73" w:rsidRDefault="00F701DF" w:rsidP="00B25C73">
      <w:pPr>
        <w:shd w:val="clear" w:color="auto" w:fill="BFBFBF" w:themeFill="background1" w:themeFillShade="BF"/>
        <w:rPr>
          <w:b/>
        </w:rPr>
      </w:pPr>
      <w:r>
        <w:rPr>
          <w:b/>
        </w:rPr>
        <w:t>9</w:t>
      </w:r>
      <w:r w:rsidR="00083C98">
        <w:rPr>
          <w:b/>
        </w:rPr>
        <w:t>.</w:t>
      </w:r>
      <w:r>
        <w:rPr>
          <w:b/>
        </w:rPr>
        <w:tab/>
      </w:r>
      <w:r w:rsidR="00F03334" w:rsidRPr="00F03334">
        <w:rPr>
          <w:b/>
        </w:rPr>
        <w:t>Timescales</w:t>
      </w:r>
      <w:r w:rsidR="00B25C73">
        <w:rPr>
          <w:b/>
        </w:rPr>
        <w:t xml:space="preserve"> and further information</w:t>
      </w:r>
    </w:p>
    <w:p w:rsidR="00B25C73" w:rsidRPr="00B25C73" w:rsidRDefault="00B25C73" w:rsidP="0052517F">
      <w:pPr>
        <w:pStyle w:val="ListParagraph"/>
        <w:numPr>
          <w:ilvl w:val="0"/>
          <w:numId w:val="7"/>
        </w:numPr>
      </w:pPr>
      <w:r w:rsidRPr="00B25C73">
        <w:t xml:space="preserve">Additional information </w:t>
      </w:r>
      <w:r w:rsidR="0052517F">
        <w:t>and guidance</w:t>
      </w:r>
      <w:r w:rsidR="00E73336">
        <w:t xml:space="preserve"> </w:t>
      </w:r>
      <w:r w:rsidRPr="00B25C73">
        <w:t>on the ADR process</w:t>
      </w:r>
      <w:r w:rsidR="0052517F">
        <w:t xml:space="preserve"> and timelines </w:t>
      </w:r>
      <w:r w:rsidRPr="00B25C73">
        <w:t xml:space="preserve"> can be foun</w:t>
      </w:r>
      <w:r w:rsidR="0052517F">
        <w:t xml:space="preserve">d at: </w:t>
      </w:r>
      <w:hyperlink r:id="rId9" w:history="1">
        <w:r w:rsidR="0052517F" w:rsidRPr="00700838">
          <w:rPr>
            <w:rStyle w:val="Hyperlink"/>
          </w:rPr>
          <w:t>https://www.strath.ac.uk/hr/adr/</w:t>
        </w:r>
      </w:hyperlink>
      <w:r w:rsidR="0052517F">
        <w:t xml:space="preserve"> </w:t>
      </w:r>
    </w:p>
    <w:p w:rsidR="00504EEC" w:rsidRDefault="00B25C73" w:rsidP="00504EEC">
      <w:pPr>
        <w:pStyle w:val="ListParagraph"/>
        <w:numPr>
          <w:ilvl w:val="0"/>
          <w:numId w:val="7"/>
        </w:numPr>
      </w:pPr>
      <w:r w:rsidRPr="00B25C73">
        <w:t xml:space="preserve">To access </w:t>
      </w:r>
      <w:r w:rsidR="00F701DF">
        <w:t xml:space="preserve">the </w:t>
      </w:r>
      <w:r w:rsidR="0052517F">
        <w:t xml:space="preserve">online </w:t>
      </w:r>
      <w:r w:rsidRPr="00B25C73">
        <w:t>ADR</w:t>
      </w:r>
      <w:r w:rsidR="0052517F">
        <w:t xml:space="preserve"> form</w:t>
      </w:r>
      <w:r w:rsidRPr="00B25C73">
        <w:t xml:space="preserve">, </w:t>
      </w:r>
      <w:r w:rsidR="0052517F">
        <w:t xml:space="preserve">log in to </w:t>
      </w:r>
      <w:r w:rsidRPr="00B25C73">
        <w:t xml:space="preserve">Pegasus, </w:t>
      </w:r>
      <w:r w:rsidR="0052517F">
        <w:t xml:space="preserve">click on the </w:t>
      </w:r>
      <w:r w:rsidRPr="00B25C73">
        <w:t>Human Resources tab</w:t>
      </w:r>
      <w:r w:rsidR="00F701DF">
        <w:t>,</w:t>
      </w:r>
      <w:r w:rsidRPr="00B25C73">
        <w:t xml:space="preserve"> and access</w:t>
      </w:r>
      <w:r w:rsidR="0052517F">
        <w:t xml:space="preserve"> forms through the </w:t>
      </w:r>
      <w:r w:rsidRPr="00B25C73">
        <w:t>Accountability and Development Review</w:t>
      </w:r>
      <w:r w:rsidR="0052517F">
        <w:t xml:space="preserve"> option</w:t>
      </w:r>
      <w:r w:rsidRPr="00B25C73">
        <w:t xml:space="preserve">.  </w:t>
      </w:r>
    </w:p>
    <w:p w:rsidR="00D16CD7" w:rsidRPr="00504EEC" w:rsidRDefault="00D16CD7" w:rsidP="00D16CD7">
      <w:pPr>
        <w:pStyle w:val="ListParagraph"/>
        <w:ind w:left="360"/>
      </w:pPr>
    </w:p>
    <w:p w:rsidR="00D16CD7" w:rsidRPr="00882762" w:rsidRDefault="00F701DF" w:rsidP="00B25C73">
      <w:r w:rsidRPr="00882762">
        <w:t>GS/BD</w:t>
      </w:r>
    </w:p>
    <w:sectPr w:rsidR="00D16CD7" w:rsidRPr="00882762" w:rsidSect="00882762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E1" w:rsidRDefault="006601E1" w:rsidP="00D16CD7">
      <w:pPr>
        <w:spacing w:after="0" w:line="240" w:lineRule="auto"/>
      </w:pPr>
      <w:r>
        <w:separator/>
      </w:r>
    </w:p>
  </w:endnote>
  <w:endnote w:type="continuationSeparator" w:id="0">
    <w:p w:rsidR="006601E1" w:rsidRDefault="006601E1" w:rsidP="00D1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605877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882762" w:rsidRPr="00882762" w:rsidRDefault="00882762" w:rsidP="00882762">
            <w:pPr>
              <w:pStyle w:val="Footer"/>
              <w:jc w:val="right"/>
              <w:rPr>
                <w:sz w:val="20"/>
                <w:szCs w:val="20"/>
              </w:rPr>
            </w:pPr>
            <w:r w:rsidRPr="00882762">
              <w:rPr>
                <w:sz w:val="20"/>
                <w:szCs w:val="20"/>
              </w:rPr>
              <w:t xml:space="preserve">Page </w:t>
            </w:r>
            <w:r w:rsidRPr="00882762">
              <w:rPr>
                <w:b/>
                <w:bCs/>
                <w:sz w:val="20"/>
                <w:szCs w:val="20"/>
              </w:rPr>
              <w:fldChar w:fldCharType="begin"/>
            </w:r>
            <w:r w:rsidRPr="0088276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276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882762">
              <w:rPr>
                <w:b/>
                <w:bCs/>
                <w:sz w:val="20"/>
                <w:szCs w:val="20"/>
              </w:rPr>
              <w:fldChar w:fldCharType="end"/>
            </w:r>
            <w:r w:rsidRPr="00882762">
              <w:rPr>
                <w:sz w:val="20"/>
                <w:szCs w:val="20"/>
              </w:rPr>
              <w:t xml:space="preserve"> of </w:t>
            </w:r>
            <w:r w:rsidRPr="00882762">
              <w:rPr>
                <w:b/>
                <w:bCs/>
                <w:sz w:val="20"/>
                <w:szCs w:val="20"/>
              </w:rPr>
              <w:fldChar w:fldCharType="begin"/>
            </w:r>
            <w:r w:rsidRPr="0088276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276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88276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E1" w:rsidRDefault="006601E1" w:rsidP="00D16CD7">
      <w:pPr>
        <w:spacing w:after="0" w:line="240" w:lineRule="auto"/>
      </w:pPr>
      <w:r>
        <w:separator/>
      </w:r>
    </w:p>
  </w:footnote>
  <w:footnote w:type="continuationSeparator" w:id="0">
    <w:p w:rsidR="006601E1" w:rsidRDefault="006601E1" w:rsidP="00D1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E6A"/>
    <w:multiLevelType w:val="hybridMultilevel"/>
    <w:tmpl w:val="7B6C3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B65D2"/>
    <w:multiLevelType w:val="multilevel"/>
    <w:tmpl w:val="EA021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844D1"/>
    <w:multiLevelType w:val="hybridMultilevel"/>
    <w:tmpl w:val="6B507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790B"/>
    <w:multiLevelType w:val="multilevel"/>
    <w:tmpl w:val="D9A4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40409"/>
    <w:multiLevelType w:val="hybridMultilevel"/>
    <w:tmpl w:val="17685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015"/>
    <w:multiLevelType w:val="multilevel"/>
    <w:tmpl w:val="67302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F010A"/>
    <w:multiLevelType w:val="hybridMultilevel"/>
    <w:tmpl w:val="FF3AF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B0134"/>
    <w:multiLevelType w:val="multilevel"/>
    <w:tmpl w:val="A5F66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57FDE"/>
    <w:multiLevelType w:val="hybridMultilevel"/>
    <w:tmpl w:val="6D723D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A63247"/>
    <w:multiLevelType w:val="hybridMultilevel"/>
    <w:tmpl w:val="1DEE7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B110C"/>
    <w:multiLevelType w:val="hybridMultilevel"/>
    <w:tmpl w:val="FC6C6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62812"/>
    <w:multiLevelType w:val="multilevel"/>
    <w:tmpl w:val="0558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0563F"/>
    <w:multiLevelType w:val="hybridMultilevel"/>
    <w:tmpl w:val="E862A1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A4BF1"/>
    <w:multiLevelType w:val="hybridMultilevel"/>
    <w:tmpl w:val="5C58F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E50ED"/>
    <w:multiLevelType w:val="multilevel"/>
    <w:tmpl w:val="D2E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C7303"/>
    <w:multiLevelType w:val="hybridMultilevel"/>
    <w:tmpl w:val="10D28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00678"/>
    <w:multiLevelType w:val="multilevel"/>
    <w:tmpl w:val="BEF8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338F5"/>
    <w:multiLevelType w:val="hybridMultilevel"/>
    <w:tmpl w:val="0FA8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1721F"/>
    <w:multiLevelType w:val="hybridMultilevel"/>
    <w:tmpl w:val="DBC80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12774"/>
    <w:multiLevelType w:val="hybridMultilevel"/>
    <w:tmpl w:val="AC025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B0B64"/>
    <w:multiLevelType w:val="hybridMultilevel"/>
    <w:tmpl w:val="446E8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63A1E"/>
    <w:multiLevelType w:val="hybridMultilevel"/>
    <w:tmpl w:val="A194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E5A49"/>
    <w:multiLevelType w:val="hybridMultilevel"/>
    <w:tmpl w:val="9DEAA2EA"/>
    <w:lvl w:ilvl="0" w:tplc="0166E9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044132"/>
    <w:multiLevelType w:val="hybridMultilevel"/>
    <w:tmpl w:val="C9CA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C3267"/>
    <w:multiLevelType w:val="hybridMultilevel"/>
    <w:tmpl w:val="C2D05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A14A94"/>
    <w:multiLevelType w:val="hybridMultilevel"/>
    <w:tmpl w:val="9D46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B266F"/>
    <w:multiLevelType w:val="hybridMultilevel"/>
    <w:tmpl w:val="42B2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003C6"/>
    <w:multiLevelType w:val="hybridMultilevel"/>
    <w:tmpl w:val="03F41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20"/>
  </w:num>
  <w:num w:numId="10">
    <w:abstractNumId w:val="23"/>
  </w:num>
  <w:num w:numId="11">
    <w:abstractNumId w:val="16"/>
  </w:num>
  <w:num w:numId="12">
    <w:abstractNumId w:val="7"/>
  </w:num>
  <w:num w:numId="13">
    <w:abstractNumId w:val="3"/>
  </w:num>
  <w:num w:numId="14">
    <w:abstractNumId w:val="14"/>
  </w:num>
  <w:num w:numId="15">
    <w:abstractNumId w:val="27"/>
  </w:num>
  <w:num w:numId="16">
    <w:abstractNumId w:val="15"/>
  </w:num>
  <w:num w:numId="17">
    <w:abstractNumId w:val="13"/>
  </w:num>
  <w:num w:numId="18">
    <w:abstractNumId w:val="24"/>
  </w:num>
  <w:num w:numId="19">
    <w:abstractNumId w:val="9"/>
  </w:num>
  <w:num w:numId="20">
    <w:abstractNumId w:val="5"/>
  </w:num>
  <w:num w:numId="21">
    <w:abstractNumId w:val="1"/>
  </w:num>
  <w:num w:numId="22">
    <w:abstractNumId w:val="4"/>
  </w:num>
  <w:num w:numId="23">
    <w:abstractNumId w:val="8"/>
  </w:num>
  <w:num w:numId="24">
    <w:abstractNumId w:val="25"/>
  </w:num>
  <w:num w:numId="25">
    <w:abstractNumId w:val="26"/>
  </w:num>
  <w:num w:numId="26">
    <w:abstractNumId w:val="17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1B"/>
    <w:rsid w:val="000073ED"/>
    <w:rsid w:val="000436F2"/>
    <w:rsid w:val="00056631"/>
    <w:rsid w:val="00083C98"/>
    <w:rsid w:val="000E354C"/>
    <w:rsid w:val="000F1F96"/>
    <w:rsid w:val="002023CF"/>
    <w:rsid w:val="00292D4D"/>
    <w:rsid w:val="002B1673"/>
    <w:rsid w:val="002E4691"/>
    <w:rsid w:val="003E23CB"/>
    <w:rsid w:val="004217B8"/>
    <w:rsid w:val="004B4B35"/>
    <w:rsid w:val="00504EEC"/>
    <w:rsid w:val="0052517F"/>
    <w:rsid w:val="00545E0F"/>
    <w:rsid w:val="00587BCE"/>
    <w:rsid w:val="005A11A9"/>
    <w:rsid w:val="005A3EA9"/>
    <w:rsid w:val="005C2FF9"/>
    <w:rsid w:val="005E38E9"/>
    <w:rsid w:val="006451EE"/>
    <w:rsid w:val="006601E1"/>
    <w:rsid w:val="006B67B2"/>
    <w:rsid w:val="0075091F"/>
    <w:rsid w:val="00790655"/>
    <w:rsid w:val="007D0C1A"/>
    <w:rsid w:val="00882762"/>
    <w:rsid w:val="008D4342"/>
    <w:rsid w:val="00901A08"/>
    <w:rsid w:val="00974828"/>
    <w:rsid w:val="009F5C6B"/>
    <w:rsid w:val="00A123CF"/>
    <w:rsid w:val="00A414BB"/>
    <w:rsid w:val="00AC2B1B"/>
    <w:rsid w:val="00AE0ADC"/>
    <w:rsid w:val="00B25C73"/>
    <w:rsid w:val="00CC76C3"/>
    <w:rsid w:val="00D062AB"/>
    <w:rsid w:val="00D07D87"/>
    <w:rsid w:val="00D16CD7"/>
    <w:rsid w:val="00DB6C5C"/>
    <w:rsid w:val="00E73336"/>
    <w:rsid w:val="00F03334"/>
    <w:rsid w:val="00F078DF"/>
    <w:rsid w:val="00F47EA1"/>
    <w:rsid w:val="00F701DF"/>
    <w:rsid w:val="00F965D6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CCA2"/>
  <w15:docId w15:val="{2D47772E-AB73-46D9-9A6D-3AEC1A4C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CD7"/>
  </w:style>
  <w:style w:type="paragraph" w:styleId="Footer">
    <w:name w:val="footer"/>
    <w:basedOn w:val="Normal"/>
    <w:link w:val="FooterChar"/>
    <w:uiPriority w:val="99"/>
    <w:unhideWhenUsed/>
    <w:rsid w:val="00D16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CD7"/>
  </w:style>
  <w:style w:type="character" w:styleId="CommentReference">
    <w:name w:val="annotation reference"/>
    <w:basedOn w:val="DefaultParagraphFont"/>
    <w:uiPriority w:val="99"/>
    <w:semiHidden/>
    <w:unhideWhenUsed/>
    <w:rsid w:val="003E2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23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5E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h.ac.uk/media/ps/humanresources/policies/Guidelines_for_Heads_of_Department-School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th.ac.uk/media/ps/humanresources/policies/Guidance_Note_for_Managers-managing_unsatisfactory_performanc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rath.ac.uk/hr/ad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Deatcher</dc:creator>
  <cp:lastModifiedBy>Bronagh Dallat</cp:lastModifiedBy>
  <cp:revision>2</cp:revision>
  <cp:lastPrinted>2018-05-15T08:28:00Z</cp:lastPrinted>
  <dcterms:created xsi:type="dcterms:W3CDTF">2018-05-15T08:58:00Z</dcterms:created>
  <dcterms:modified xsi:type="dcterms:W3CDTF">2018-05-15T08:58:00Z</dcterms:modified>
</cp:coreProperties>
</file>