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CellMar>
          <w:left w:w="144" w:type="dxa"/>
          <w:right w:w="144" w:type="dxa"/>
        </w:tblCellMar>
        <w:tblLook w:val="0000" w:firstRow="0" w:lastRow="0" w:firstColumn="0" w:lastColumn="0" w:noHBand="0" w:noVBand="0"/>
      </w:tblPr>
      <w:tblGrid>
        <w:gridCol w:w="1288"/>
        <w:gridCol w:w="2126"/>
        <w:gridCol w:w="130"/>
        <w:gridCol w:w="1701"/>
        <w:gridCol w:w="2552"/>
        <w:gridCol w:w="2245"/>
        <w:gridCol w:w="308"/>
      </w:tblGrid>
      <w:tr w:rsidR="00E91FE7" w:rsidRPr="006550AA" w14:paraId="51E52D9C" w14:textId="77777777" w:rsidTr="004111B0">
        <w:tc>
          <w:tcPr>
            <w:tcW w:w="10042" w:type="dxa"/>
            <w:gridSpan w:val="6"/>
          </w:tcPr>
          <w:p w14:paraId="4C961BCF" w14:textId="502528AC" w:rsidR="00E91FE7" w:rsidRPr="006550AA" w:rsidRDefault="00E91FE7" w:rsidP="00932D80">
            <w:pPr>
              <w:jc w:val="center"/>
              <w:rPr>
                <w:rFonts w:ascii="Arial" w:hAnsi="Arial" w:cs="Arial"/>
                <w:b/>
              </w:rPr>
            </w:pPr>
            <w:bookmarkStart w:id="0" w:name="_GoBack"/>
            <w:bookmarkEnd w:id="0"/>
          </w:p>
          <w:p w14:paraId="587EEEA5" w14:textId="4D43DC96" w:rsidR="00244CCD" w:rsidRPr="00244CCD" w:rsidRDefault="00244CCD" w:rsidP="00244CCD">
            <w:pPr>
              <w:pStyle w:val="Heading1"/>
              <w:tabs>
                <w:tab w:val="left" w:pos="6480"/>
              </w:tabs>
              <w:rPr>
                <w:rFonts w:ascii="Arial" w:hAnsi="Arial" w:cs="Arial"/>
                <w:sz w:val="24"/>
                <w:szCs w:val="24"/>
              </w:rPr>
            </w:pPr>
            <w:r w:rsidRPr="00244CCD">
              <w:rPr>
                <w:rFonts w:ascii="Arial" w:hAnsi="Arial" w:cs="Arial"/>
                <w:sz w:val="24"/>
                <w:szCs w:val="24"/>
              </w:rPr>
              <w:t>SF105</w:t>
            </w:r>
            <w:r w:rsidR="004527DD" w:rsidRPr="00244CCD">
              <w:rPr>
                <w:rFonts w:ascii="Arial" w:hAnsi="Arial" w:cs="Arial"/>
                <w:sz w:val="24"/>
                <w:szCs w:val="24"/>
              </w:rPr>
              <w:t xml:space="preserve"> </w:t>
            </w:r>
            <w:r w:rsidRPr="00244CCD">
              <w:rPr>
                <w:rFonts w:ascii="Arial" w:hAnsi="Arial" w:cs="Arial"/>
                <w:sz w:val="24"/>
                <w:szCs w:val="24"/>
              </w:rPr>
              <w:t>Multidisciplinary Perspectives of Sustainable Development</w:t>
            </w:r>
          </w:p>
          <w:p w14:paraId="5FFBDFD8" w14:textId="77777777" w:rsidR="00244CCD" w:rsidRPr="00C40FFD" w:rsidRDefault="00244CCD" w:rsidP="00244CCD">
            <w:pPr>
              <w:jc w:val="both"/>
              <w:rPr>
                <w:rFonts w:ascii="Arial" w:hAnsi="Arial" w:cs="Arial"/>
              </w:rPr>
            </w:pPr>
            <w:r w:rsidRPr="00C40FFD">
              <w:rPr>
                <w:rFonts w:ascii="Arial" w:eastAsia="Arial" w:hAnsi="Arial" w:cs="Arial"/>
              </w:rPr>
              <w:t>UNESCO has been promoting Education for Sustainable Development (ESD) since 1991. It led the UN Decade for ESD from 2005 to 2014 and is now spearheading its follow-up, the Global Action Programme (GAP) on ESD. The momentum for ESD has never been stronger. Global issues urgently require a shift in our lifestyles and a transformation of the way we think and act. To achieve this change we need new skills, values and attitudes that lead to more sustainable societies. Education systems must respond to this pressing need by defining relevant learning objectives and learning contents and introducing pedagogies that empower learners. The new 2030 Agenda for Sustainable Development clearly reflects this vision of the importance of an appropriate educational response. Education is explicitly formulated as a stand-alone goal – Sustainable Development Goal 4. Numerous education-related targets and indicators are also contained within other Sustainable Development Goals (SDGs). Education is both a goal in itself and a means of attaining all the other SDGs. It is not only part of sustainable development, but also a key enabler for it. That is why education represents an essential strategy in the pursuit of SDGs and defines the need for this class.</w:t>
            </w:r>
          </w:p>
          <w:p w14:paraId="1795EC7D" w14:textId="7CE9F374" w:rsidR="00E91FE7" w:rsidRPr="006550AA" w:rsidRDefault="00244CCD" w:rsidP="00C97121">
            <w:pPr>
              <w:spacing w:after="120"/>
              <w:rPr>
                <w:rFonts w:ascii="Arial" w:hAnsi="Arial" w:cs="Arial"/>
              </w:rPr>
            </w:pPr>
            <w:r>
              <w:rPr>
                <w:rStyle w:val="Body"/>
                <w:b/>
              </w:rPr>
              <w:t>20 credits</w:t>
            </w:r>
          </w:p>
          <w:p w14:paraId="6D9E3DFD" w14:textId="77777777" w:rsidR="00E91FE7" w:rsidRPr="006550AA" w:rsidRDefault="00E91FE7" w:rsidP="00990C36">
            <w:pPr>
              <w:jc w:val="center"/>
              <w:rPr>
                <w:rFonts w:ascii="Arial" w:hAnsi="Arial" w:cs="Arial"/>
              </w:rPr>
            </w:pPr>
          </w:p>
        </w:tc>
        <w:tc>
          <w:tcPr>
            <w:tcW w:w="308" w:type="dxa"/>
          </w:tcPr>
          <w:p w14:paraId="6ABD1728" w14:textId="71F245F7" w:rsidR="00E91FE7" w:rsidRPr="006550AA" w:rsidRDefault="00E91FE7" w:rsidP="00932D80">
            <w:pPr>
              <w:rPr>
                <w:rFonts w:ascii="Arial" w:hAnsi="Arial" w:cs="Arial"/>
              </w:rPr>
            </w:pPr>
          </w:p>
          <w:p w14:paraId="732E4A4C" w14:textId="51CEFA50" w:rsidR="00E91FE7" w:rsidRPr="006550AA" w:rsidRDefault="00E91FE7" w:rsidP="00932D80">
            <w:pPr>
              <w:rPr>
                <w:rFonts w:ascii="Arial" w:hAnsi="Arial" w:cs="Arial"/>
              </w:rPr>
            </w:pPr>
          </w:p>
        </w:tc>
      </w:tr>
      <w:tr w:rsidR="00E91FE7" w:rsidRPr="006550AA" w14:paraId="00A94154" w14:textId="77777777" w:rsidTr="004111B0">
        <w:tblPrEx>
          <w:tblBorders>
            <w:top w:val="single" w:sz="2" w:space="0" w:color="auto"/>
            <w:left w:val="single" w:sz="2" w:space="0" w:color="auto"/>
            <w:bottom w:val="single" w:sz="2" w:space="0" w:color="auto"/>
            <w:right w:val="single" w:sz="2" w:space="0" w:color="auto"/>
          </w:tblBorders>
        </w:tblPrEx>
        <w:tc>
          <w:tcPr>
            <w:tcW w:w="3414" w:type="dxa"/>
            <w:gridSpan w:val="2"/>
            <w:tcBorders>
              <w:top w:val="single" w:sz="2" w:space="0" w:color="auto"/>
              <w:bottom w:val="single" w:sz="2" w:space="0" w:color="auto"/>
              <w:right w:val="single" w:sz="2" w:space="0" w:color="auto"/>
            </w:tcBorders>
          </w:tcPr>
          <w:p w14:paraId="60139801" w14:textId="6767CBE4" w:rsidR="00E91FE7" w:rsidRPr="006D1A6B" w:rsidRDefault="00E91FE7">
            <w:pPr>
              <w:rPr>
                <w:rFonts w:ascii="Arial" w:hAnsi="Arial" w:cs="Arial"/>
                <w:b/>
              </w:rPr>
            </w:pPr>
            <w:r w:rsidRPr="006D1A6B">
              <w:rPr>
                <w:rFonts w:ascii="Arial" w:hAnsi="Arial" w:cs="Arial"/>
                <w:b/>
              </w:rPr>
              <w:t>Module</w:t>
            </w:r>
            <w:r>
              <w:rPr>
                <w:rFonts w:ascii="Arial" w:hAnsi="Arial" w:cs="Arial"/>
                <w:b/>
              </w:rPr>
              <w:t>/Class</w:t>
            </w:r>
            <w:r w:rsidRPr="006D1A6B">
              <w:rPr>
                <w:rFonts w:ascii="Arial" w:hAnsi="Arial" w:cs="Arial"/>
                <w:b/>
              </w:rPr>
              <w:t xml:space="preserve"> </w:t>
            </w:r>
            <w:r>
              <w:rPr>
                <w:rFonts w:ascii="Arial" w:hAnsi="Arial" w:cs="Arial"/>
                <w:b/>
              </w:rPr>
              <w:t>Leaders</w:t>
            </w:r>
            <w:r w:rsidRPr="006D1A6B">
              <w:rPr>
                <w:rFonts w:ascii="Arial" w:hAnsi="Arial" w:cs="Arial"/>
                <w:b/>
              </w:rPr>
              <w:t xml:space="preserve">: </w:t>
            </w:r>
          </w:p>
          <w:p w14:paraId="6ABB5280" w14:textId="77777777" w:rsidR="00E91FE7" w:rsidRPr="006D1A6B" w:rsidRDefault="00E91FE7">
            <w:pPr>
              <w:rPr>
                <w:rFonts w:ascii="Arial" w:hAnsi="Arial" w:cs="Arial"/>
              </w:rPr>
            </w:pPr>
          </w:p>
        </w:tc>
        <w:tc>
          <w:tcPr>
            <w:tcW w:w="6936" w:type="dxa"/>
            <w:gridSpan w:val="5"/>
            <w:tcBorders>
              <w:top w:val="single" w:sz="2" w:space="0" w:color="auto"/>
              <w:left w:val="single" w:sz="2" w:space="0" w:color="auto"/>
              <w:bottom w:val="single" w:sz="2" w:space="0" w:color="auto"/>
            </w:tcBorders>
          </w:tcPr>
          <w:p w14:paraId="2F58E72C" w14:textId="3592DD0F" w:rsidR="00E91FE7" w:rsidRPr="00EE4B28" w:rsidRDefault="00244CCD" w:rsidP="0067560A">
            <w:pPr>
              <w:rPr>
                <w:rFonts w:ascii="Arial" w:hAnsi="Arial" w:cs="Arial"/>
              </w:rPr>
            </w:pPr>
            <w:r>
              <w:rPr>
                <w:rFonts w:ascii="Arial" w:hAnsi="Arial" w:cs="Arial"/>
              </w:rPr>
              <w:t>Lizann Bonnar, Debbie Willison</w:t>
            </w:r>
          </w:p>
        </w:tc>
      </w:tr>
      <w:tr w:rsidR="00E91FE7" w:rsidRPr="006550AA" w14:paraId="1BF7E7A0" w14:textId="77777777" w:rsidTr="004111B0">
        <w:tblPrEx>
          <w:tblBorders>
            <w:top w:val="single" w:sz="2" w:space="0" w:color="auto"/>
            <w:left w:val="single" w:sz="2" w:space="0" w:color="auto"/>
            <w:bottom w:val="single" w:sz="2" w:space="0" w:color="auto"/>
            <w:right w:val="single" w:sz="2" w:space="0" w:color="auto"/>
          </w:tblBorders>
        </w:tblPrEx>
        <w:tc>
          <w:tcPr>
            <w:tcW w:w="3414" w:type="dxa"/>
            <w:gridSpan w:val="2"/>
            <w:tcBorders>
              <w:top w:val="single" w:sz="2" w:space="0" w:color="auto"/>
              <w:bottom w:val="single" w:sz="2" w:space="0" w:color="auto"/>
              <w:right w:val="single" w:sz="2" w:space="0" w:color="auto"/>
            </w:tcBorders>
          </w:tcPr>
          <w:p w14:paraId="783BEBC9" w14:textId="4040D9FA" w:rsidR="00E91FE7" w:rsidRPr="006D1A6B" w:rsidRDefault="00E91FE7" w:rsidP="005E1B5E">
            <w:pPr>
              <w:rPr>
                <w:rFonts w:ascii="Arial" w:hAnsi="Arial" w:cs="Arial"/>
                <w:b/>
              </w:rPr>
            </w:pPr>
            <w:r>
              <w:rPr>
                <w:rFonts w:ascii="Arial" w:hAnsi="Arial" w:cs="Arial"/>
                <w:b/>
              </w:rPr>
              <w:t>Lecturers</w:t>
            </w:r>
            <w:r w:rsidRPr="006D1A6B">
              <w:rPr>
                <w:rFonts w:ascii="Arial" w:hAnsi="Arial" w:cs="Arial"/>
                <w:b/>
              </w:rPr>
              <w:t xml:space="preserve">: </w:t>
            </w:r>
          </w:p>
        </w:tc>
        <w:tc>
          <w:tcPr>
            <w:tcW w:w="6936" w:type="dxa"/>
            <w:gridSpan w:val="5"/>
            <w:tcBorders>
              <w:top w:val="single" w:sz="2" w:space="0" w:color="auto"/>
              <w:left w:val="single" w:sz="2" w:space="0" w:color="auto"/>
              <w:bottom w:val="single" w:sz="2" w:space="0" w:color="auto"/>
            </w:tcBorders>
          </w:tcPr>
          <w:p w14:paraId="5582F4D8" w14:textId="23F5C2F8" w:rsidR="00E91FE7" w:rsidRPr="006D1A6B" w:rsidRDefault="00244CCD" w:rsidP="00996D1F">
            <w:pPr>
              <w:rPr>
                <w:rFonts w:ascii="Arial" w:hAnsi="Arial" w:cs="Arial"/>
              </w:rPr>
            </w:pPr>
            <w:r>
              <w:rPr>
                <w:rFonts w:ascii="Arial" w:hAnsi="Arial" w:cs="Arial"/>
              </w:rPr>
              <w:t xml:space="preserve">Kerem Akartunali, </w:t>
            </w:r>
            <w:r w:rsidR="006124FE">
              <w:rPr>
                <w:rFonts w:ascii="Arial" w:hAnsi="Arial" w:cs="Arial"/>
              </w:rPr>
              <w:t xml:space="preserve">Sarah Barry, </w:t>
            </w:r>
            <w:r>
              <w:rPr>
                <w:rFonts w:ascii="Arial" w:hAnsi="Arial" w:cs="Arial"/>
              </w:rPr>
              <w:t xml:space="preserve">Doug Bertram, Lizann Bonnar, </w:t>
            </w:r>
            <w:r w:rsidR="006124FE">
              <w:rPr>
                <w:rFonts w:ascii="Arial" w:hAnsi="Arial" w:cs="Arial"/>
              </w:rPr>
              <w:t>Paul Bradley, Harry Burns, Andrea Coulson, Branka Dimitrijevic, Diane Dixon, Ana Maria Esteves, Rebecca Ford, Laura Hobbs, Manish Joshi, Adam Kleczkowski, Cameron MacKay, Churnjeet Mahn, Itamar Megiddo, Sean Morrissey, Tracy Morse, Neil Quinn, Daniela Sime, Francesco Sindico, Scott Strachan, Debbie Willison</w:t>
            </w:r>
          </w:p>
        </w:tc>
      </w:tr>
      <w:tr w:rsidR="00E91FE7" w:rsidRPr="006550AA" w14:paraId="2750D45D" w14:textId="77777777" w:rsidTr="004111B0">
        <w:tblPrEx>
          <w:tblBorders>
            <w:top w:val="single" w:sz="2" w:space="0" w:color="auto"/>
            <w:left w:val="single" w:sz="2" w:space="0" w:color="auto"/>
            <w:bottom w:val="single" w:sz="2" w:space="0" w:color="auto"/>
            <w:right w:val="single" w:sz="2" w:space="0" w:color="auto"/>
          </w:tblBorders>
        </w:tblPrEx>
        <w:tc>
          <w:tcPr>
            <w:tcW w:w="3414" w:type="dxa"/>
            <w:gridSpan w:val="2"/>
            <w:tcBorders>
              <w:top w:val="single" w:sz="2" w:space="0" w:color="auto"/>
              <w:bottom w:val="single" w:sz="2" w:space="0" w:color="auto"/>
              <w:right w:val="single" w:sz="2" w:space="0" w:color="auto"/>
            </w:tcBorders>
          </w:tcPr>
          <w:p w14:paraId="7E730448" w14:textId="1B96A915" w:rsidR="00E91FE7" w:rsidRDefault="00E91FE7" w:rsidP="004527DD">
            <w:pPr>
              <w:rPr>
                <w:rFonts w:ascii="Arial" w:hAnsi="Arial" w:cs="Arial"/>
                <w:b/>
              </w:rPr>
            </w:pPr>
            <w:r>
              <w:rPr>
                <w:rFonts w:ascii="Arial" w:hAnsi="Arial" w:cs="Arial"/>
                <w:b/>
              </w:rPr>
              <w:t xml:space="preserve">Academic </w:t>
            </w:r>
            <w:r w:rsidR="004527DD">
              <w:rPr>
                <w:rFonts w:ascii="Arial" w:hAnsi="Arial" w:cs="Arial"/>
                <w:b/>
              </w:rPr>
              <w:t>l</w:t>
            </w:r>
            <w:r>
              <w:rPr>
                <w:rFonts w:ascii="Arial" w:hAnsi="Arial" w:cs="Arial"/>
                <w:b/>
              </w:rPr>
              <w:t>evel:</w:t>
            </w:r>
          </w:p>
        </w:tc>
        <w:tc>
          <w:tcPr>
            <w:tcW w:w="6936" w:type="dxa"/>
            <w:gridSpan w:val="5"/>
            <w:tcBorders>
              <w:top w:val="single" w:sz="2" w:space="0" w:color="auto"/>
              <w:left w:val="single" w:sz="2" w:space="0" w:color="auto"/>
              <w:bottom w:val="single" w:sz="2" w:space="0" w:color="auto"/>
            </w:tcBorders>
          </w:tcPr>
          <w:p w14:paraId="1D783332" w14:textId="4D809C29" w:rsidR="00E91FE7" w:rsidRPr="006D1A6B" w:rsidRDefault="00C40FFD" w:rsidP="005E1B5E">
            <w:pPr>
              <w:rPr>
                <w:rFonts w:ascii="Arial" w:hAnsi="Arial" w:cs="Arial"/>
              </w:rPr>
            </w:pPr>
            <w:r>
              <w:rPr>
                <w:rFonts w:ascii="Arial" w:hAnsi="Arial" w:cs="Arial"/>
              </w:rPr>
              <w:t>Level 7</w:t>
            </w:r>
          </w:p>
        </w:tc>
      </w:tr>
      <w:tr w:rsidR="00E91FE7" w:rsidRPr="006550AA" w14:paraId="713E6B09"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single" w:sz="2" w:space="0" w:color="auto"/>
              <w:left w:val="nil"/>
              <w:bottom w:val="nil"/>
              <w:right w:val="nil"/>
            </w:tcBorders>
          </w:tcPr>
          <w:p w14:paraId="07834EC5" w14:textId="7AE8845C" w:rsidR="00E91FE7" w:rsidRDefault="00E91FE7" w:rsidP="005E1B5E">
            <w:pPr>
              <w:rPr>
                <w:rFonts w:ascii="Arial" w:hAnsi="Arial" w:cs="Arial"/>
                <w:b/>
              </w:rPr>
            </w:pPr>
          </w:p>
          <w:p w14:paraId="2E118595" w14:textId="3857C24D" w:rsidR="00E91FE7" w:rsidRPr="006D1A6B" w:rsidRDefault="00E91FE7" w:rsidP="005E1B5E">
            <w:pPr>
              <w:rPr>
                <w:rFonts w:ascii="Arial" w:hAnsi="Arial" w:cs="Arial"/>
              </w:rPr>
            </w:pPr>
            <w:r w:rsidRPr="006D1A6B">
              <w:rPr>
                <w:rFonts w:ascii="Arial" w:hAnsi="Arial" w:cs="Arial"/>
                <w:b/>
              </w:rPr>
              <w:t>Module Format and Delivery (hours):</w:t>
            </w:r>
          </w:p>
        </w:tc>
      </w:tr>
      <w:tr w:rsidR="00E91FE7" w:rsidRPr="006550AA" w14:paraId="0F3F6989" w14:textId="77777777" w:rsidTr="004111B0">
        <w:tblPrEx>
          <w:tblBorders>
            <w:top w:val="single" w:sz="2" w:space="0" w:color="auto"/>
            <w:left w:val="single" w:sz="2" w:space="0" w:color="auto"/>
            <w:bottom w:val="single" w:sz="2" w:space="0" w:color="auto"/>
            <w:right w:val="single" w:sz="2" w:space="0" w:color="auto"/>
          </w:tblBorders>
        </w:tblPrEx>
        <w:trPr>
          <w:trHeight w:val="313"/>
        </w:trPr>
        <w:tc>
          <w:tcPr>
            <w:tcW w:w="1288" w:type="dxa"/>
            <w:tcBorders>
              <w:top w:val="single" w:sz="2" w:space="0" w:color="auto"/>
              <w:left w:val="single" w:sz="2" w:space="0" w:color="auto"/>
              <w:bottom w:val="single" w:sz="2" w:space="0" w:color="auto"/>
              <w:right w:val="single" w:sz="2" w:space="0" w:color="auto"/>
            </w:tcBorders>
          </w:tcPr>
          <w:p w14:paraId="1195EDA8" w14:textId="1015A25C" w:rsidR="00E91FE7" w:rsidRPr="00EE4B28" w:rsidRDefault="00D90970" w:rsidP="005E1B5E">
            <w:pPr>
              <w:jc w:val="center"/>
              <w:rPr>
                <w:rFonts w:ascii="Arial" w:hAnsi="Arial" w:cs="Arial"/>
                <w:b/>
                <w:sz w:val="18"/>
                <w:szCs w:val="18"/>
              </w:rPr>
            </w:pPr>
            <w:r>
              <w:rPr>
                <w:rFonts w:ascii="Arial" w:hAnsi="Arial" w:cs="Arial"/>
                <w:b/>
                <w:sz w:val="18"/>
                <w:szCs w:val="18"/>
              </w:rPr>
              <w:t>Videos</w:t>
            </w:r>
          </w:p>
        </w:tc>
        <w:tc>
          <w:tcPr>
            <w:tcW w:w="2256" w:type="dxa"/>
            <w:gridSpan w:val="2"/>
            <w:tcBorders>
              <w:top w:val="single" w:sz="2" w:space="0" w:color="auto"/>
              <w:left w:val="single" w:sz="2" w:space="0" w:color="auto"/>
              <w:bottom w:val="single" w:sz="2" w:space="0" w:color="auto"/>
              <w:right w:val="single" w:sz="2" w:space="0" w:color="auto"/>
            </w:tcBorders>
          </w:tcPr>
          <w:p w14:paraId="38B42083" w14:textId="32AAFFDA" w:rsidR="00E91FE7" w:rsidRPr="00EE4B28" w:rsidRDefault="00D90970" w:rsidP="005E1B5E">
            <w:pPr>
              <w:jc w:val="center"/>
              <w:rPr>
                <w:rFonts w:ascii="Arial" w:hAnsi="Arial" w:cs="Arial"/>
                <w:b/>
                <w:sz w:val="18"/>
                <w:szCs w:val="18"/>
              </w:rPr>
            </w:pPr>
            <w:r>
              <w:rPr>
                <w:rFonts w:ascii="Arial" w:hAnsi="Arial" w:cs="Arial"/>
                <w:b/>
                <w:sz w:val="18"/>
                <w:szCs w:val="18"/>
              </w:rPr>
              <w:t>Reading/Discussion</w:t>
            </w:r>
          </w:p>
        </w:tc>
        <w:tc>
          <w:tcPr>
            <w:tcW w:w="1701" w:type="dxa"/>
            <w:tcBorders>
              <w:top w:val="single" w:sz="2" w:space="0" w:color="auto"/>
              <w:left w:val="single" w:sz="2" w:space="0" w:color="auto"/>
              <w:bottom w:val="single" w:sz="2" w:space="0" w:color="auto"/>
              <w:right w:val="single" w:sz="2" w:space="0" w:color="auto"/>
            </w:tcBorders>
          </w:tcPr>
          <w:p w14:paraId="71500E04" w14:textId="43C8CABC" w:rsidR="00E91FE7" w:rsidRPr="00EE4B28" w:rsidRDefault="00D90970" w:rsidP="005E1B5E">
            <w:pPr>
              <w:jc w:val="center"/>
              <w:rPr>
                <w:rFonts w:ascii="Arial" w:hAnsi="Arial" w:cs="Arial"/>
                <w:b/>
                <w:sz w:val="18"/>
                <w:szCs w:val="18"/>
              </w:rPr>
            </w:pPr>
            <w:r>
              <w:rPr>
                <w:rFonts w:ascii="Arial" w:hAnsi="Arial" w:cs="Arial"/>
                <w:b/>
                <w:sz w:val="18"/>
                <w:szCs w:val="18"/>
              </w:rPr>
              <w:t>Assignments</w:t>
            </w:r>
          </w:p>
        </w:tc>
        <w:tc>
          <w:tcPr>
            <w:tcW w:w="2552" w:type="dxa"/>
            <w:tcBorders>
              <w:top w:val="single" w:sz="2" w:space="0" w:color="auto"/>
              <w:left w:val="single" w:sz="2" w:space="0" w:color="auto"/>
              <w:bottom w:val="single" w:sz="2" w:space="0" w:color="auto"/>
              <w:right w:val="single" w:sz="2" w:space="0" w:color="auto"/>
            </w:tcBorders>
          </w:tcPr>
          <w:p w14:paraId="177C8054" w14:textId="61499B53" w:rsidR="00E91FE7" w:rsidRPr="00EE4B28" w:rsidRDefault="004527DD" w:rsidP="005E1B5E">
            <w:pPr>
              <w:jc w:val="center"/>
              <w:rPr>
                <w:rFonts w:ascii="Arial" w:hAnsi="Arial" w:cs="Arial"/>
                <w:b/>
                <w:sz w:val="18"/>
                <w:szCs w:val="18"/>
              </w:rPr>
            </w:pPr>
            <w:r>
              <w:rPr>
                <w:rFonts w:ascii="Arial" w:hAnsi="Arial" w:cs="Arial"/>
                <w:b/>
                <w:sz w:val="18"/>
                <w:szCs w:val="18"/>
              </w:rPr>
              <w:t>Independent study</w:t>
            </w:r>
          </w:p>
        </w:tc>
        <w:tc>
          <w:tcPr>
            <w:tcW w:w="2553" w:type="dxa"/>
            <w:gridSpan w:val="2"/>
            <w:tcBorders>
              <w:top w:val="single" w:sz="2" w:space="0" w:color="auto"/>
              <w:left w:val="single" w:sz="2" w:space="0" w:color="auto"/>
              <w:bottom w:val="single" w:sz="2" w:space="0" w:color="auto"/>
              <w:right w:val="single" w:sz="2" w:space="0" w:color="auto"/>
            </w:tcBorders>
          </w:tcPr>
          <w:p w14:paraId="1E53C87F" w14:textId="77777777" w:rsidR="00E91FE7" w:rsidRPr="006D1A6B" w:rsidRDefault="00E91FE7" w:rsidP="005E1B5E">
            <w:pPr>
              <w:jc w:val="center"/>
              <w:rPr>
                <w:rFonts w:ascii="Arial" w:hAnsi="Arial" w:cs="Arial"/>
                <w:sz w:val="18"/>
                <w:szCs w:val="18"/>
              </w:rPr>
            </w:pPr>
            <w:r w:rsidRPr="006D1A6B">
              <w:rPr>
                <w:rFonts w:ascii="Arial" w:hAnsi="Arial" w:cs="Arial"/>
                <w:b/>
                <w:sz w:val="18"/>
                <w:szCs w:val="18"/>
              </w:rPr>
              <w:t>Total</w:t>
            </w:r>
          </w:p>
        </w:tc>
      </w:tr>
      <w:tr w:rsidR="00E91FE7" w:rsidRPr="00EC1A35" w14:paraId="468A60E5" w14:textId="77777777" w:rsidTr="004111B0">
        <w:tblPrEx>
          <w:tblBorders>
            <w:top w:val="single" w:sz="2" w:space="0" w:color="auto"/>
            <w:left w:val="single" w:sz="2" w:space="0" w:color="auto"/>
            <w:bottom w:val="single" w:sz="2" w:space="0" w:color="auto"/>
            <w:right w:val="single" w:sz="2" w:space="0" w:color="auto"/>
          </w:tblBorders>
        </w:tblPrEx>
        <w:tc>
          <w:tcPr>
            <w:tcW w:w="1288" w:type="dxa"/>
            <w:tcBorders>
              <w:top w:val="single" w:sz="2" w:space="0" w:color="auto"/>
              <w:left w:val="single" w:sz="2" w:space="0" w:color="auto"/>
              <w:bottom w:val="single" w:sz="2" w:space="0" w:color="auto"/>
              <w:right w:val="single" w:sz="2" w:space="0" w:color="auto"/>
            </w:tcBorders>
          </w:tcPr>
          <w:p w14:paraId="682C0966" w14:textId="3126E0B5" w:rsidR="00E91FE7" w:rsidRDefault="001B0493" w:rsidP="005E1B5E">
            <w:pPr>
              <w:jc w:val="center"/>
              <w:rPr>
                <w:rFonts w:ascii="Arial" w:hAnsi="Arial" w:cs="Arial"/>
                <w:szCs w:val="24"/>
              </w:rPr>
            </w:pPr>
            <w:r>
              <w:rPr>
                <w:rFonts w:ascii="Arial" w:hAnsi="Arial" w:cs="Arial"/>
                <w:szCs w:val="24"/>
              </w:rPr>
              <w:t>4</w:t>
            </w:r>
          </w:p>
        </w:tc>
        <w:tc>
          <w:tcPr>
            <w:tcW w:w="2256" w:type="dxa"/>
            <w:gridSpan w:val="2"/>
            <w:tcBorders>
              <w:top w:val="single" w:sz="2" w:space="0" w:color="auto"/>
              <w:left w:val="single" w:sz="2" w:space="0" w:color="auto"/>
              <w:bottom w:val="single" w:sz="2" w:space="0" w:color="auto"/>
              <w:right w:val="single" w:sz="2" w:space="0" w:color="auto"/>
            </w:tcBorders>
          </w:tcPr>
          <w:p w14:paraId="233095B0" w14:textId="6D2CC1FB" w:rsidR="00E91FE7" w:rsidRPr="006D1A6B" w:rsidRDefault="001B0493" w:rsidP="005E1B5E">
            <w:pPr>
              <w:jc w:val="center"/>
              <w:rPr>
                <w:rFonts w:ascii="Arial" w:hAnsi="Arial" w:cs="Arial"/>
                <w:szCs w:val="24"/>
              </w:rPr>
            </w:pPr>
            <w:r>
              <w:rPr>
                <w:rFonts w:ascii="Arial" w:hAnsi="Arial" w:cs="Arial"/>
                <w:szCs w:val="24"/>
              </w:rPr>
              <w:t>37</w:t>
            </w:r>
          </w:p>
        </w:tc>
        <w:tc>
          <w:tcPr>
            <w:tcW w:w="1701" w:type="dxa"/>
            <w:tcBorders>
              <w:top w:val="single" w:sz="2" w:space="0" w:color="auto"/>
              <w:left w:val="single" w:sz="2" w:space="0" w:color="auto"/>
              <w:bottom w:val="single" w:sz="2" w:space="0" w:color="auto"/>
              <w:right w:val="single" w:sz="2" w:space="0" w:color="auto"/>
            </w:tcBorders>
          </w:tcPr>
          <w:p w14:paraId="19EB4307" w14:textId="6D672B56" w:rsidR="00E91FE7" w:rsidRPr="006D1A6B" w:rsidRDefault="001B0493" w:rsidP="005E1B5E">
            <w:pPr>
              <w:jc w:val="center"/>
              <w:rPr>
                <w:rFonts w:ascii="Arial" w:hAnsi="Arial" w:cs="Arial"/>
                <w:szCs w:val="24"/>
              </w:rPr>
            </w:pPr>
            <w:r>
              <w:rPr>
                <w:rFonts w:ascii="Arial" w:hAnsi="Arial" w:cs="Arial"/>
                <w:szCs w:val="24"/>
              </w:rPr>
              <w:t>38</w:t>
            </w:r>
          </w:p>
        </w:tc>
        <w:tc>
          <w:tcPr>
            <w:tcW w:w="2552" w:type="dxa"/>
            <w:tcBorders>
              <w:top w:val="single" w:sz="2" w:space="0" w:color="auto"/>
              <w:left w:val="single" w:sz="2" w:space="0" w:color="auto"/>
              <w:bottom w:val="single" w:sz="2" w:space="0" w:color="auto"/>
              <w:right w:val="single" w:sz="2" w:space="0" w:color="auto"/>
            </w:tcBorders>
          </w:tcPr>
          <w:p w14:paraId="47372936" w14:textId="3F4BF43E" w:rsidR="00E91FE7" w:rsidRPr="00527F0E" w:rsidRDefault="001B0493" w:rsidP="005E1B5E">
            <w:pPr>
              <w:jc w:val="center"/>
              <w:rPr>
                <w:rFonts w:ascii="Arial" w:hAnsi="Arial" w:cs="Arial"/>
                <w:szCs w:val="24"/>
              </w:rPr>
            </w:pPr>
            <w:r>
              <w:rPr>
                <w:rFonts w:ascii="Arial" w:hAnsi="Arial" w:cs="Arial"/>
                <w:szCs w:val="24"/>
              </w:rPr>
              <w:t>121</w:t>
            </w:r>
          </w:p>
        </w:tc>
        <w:tc>
          <w:tcPr>
            <w:tcW w:w="2553" w:type="dxa"/>
            <w:gridSpan w:val="2"/>
            <w:tcBorders>
              <w:top w:val="single" w:sz="2" w:space="0" w:color="auto"/>
              <w:left w:val="single" w:sz="2" w:space="0" w:color="auto"/>
              <w:bottom w:val="single" w:sz="2" w:space="0" w:color="auto"/>
              <w:right w:val="single" w:sz="2" w:space="0" w:color="auto"/>
            </w:tcBorders>
          </w:tcPr>
          <w:p w14:paraId="2A34CC32" w14:textId="79FB9DB6" w:rsidR="00E91FE7" w:rsidRPr="00527F0E" w:rsidRDefault="001B0493" w:rsidP="005E1B5E">
            <w:pPr>
              <w:jc w:val="center"/>
              <w:rPr>
                <w:rFonts w:ascii="Arial" w:hAnsi="Arial" w:cs="Arial"/>
                <w:szCs w:val="24"/>
              </w:rPr>
            </w:pPr>
            <w:r>
              <w:rPr>
                <w:rFonts w:ascii="Arial" w:hAnsi="Arial" w:cs="Arial"/>
                <w:szCs w:val="24"/>
              </w:rPr>
              <w:t>200</w:t>
            </w:r>
          </w:p>
        </w:tc>
      </w:tr>
      <w:tr w:rsidR="00E91FE7" w:rsidRPr="006550AA" w14:paraId="415163EA"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nil"/>
              <w:left w:val="nil"/>
              <w:bottom w:val="single" w:sz="2" w:space="0" w:color="auto"/>
              <w:right w:val="nil"/>
            </w:tcBorders>
          </w:tcPr>
          <w:p w14:paraId="45B41D03" w14:textId="7C717048" w:rsidR="00E91FE7" w:rsidRPr="006550AA" w:rsidRDefault="00E91FE7" w:rsidP="005E1B5E">
            <w:pPr>
              <w:rPr>
                <w:rFonts w:ascii="Arial" w:hAnsi="Arial" w:cs="Arial"/>
                <w:b/>
              </w:rPr>
            </w:pPr>
          </w:p>
          <w:p w14:paraId="29C9E48B" w14:textId="53718A2C" w:rsidR="00E91FE7" w:rsidRPr="006550AA" w:rsidRDefault="00E91FE7" w:rsidP="005E1B5E">
            <w:pPr>
              <w:rPr>
                <w:rFonts w:ascii="Arial" w:hAnsi="Arial" w:cs="Arial"/>
              </w:rPr>
            </w:pPr>
            <w:r w:rsidRPr="006550AA">
              <w:rPr>
                <w:rFonts w:ascii="Arial" w:hAnsi="Arial" w:cs="Arial"/>
                <w:b/>
              </w:rPr>
              <w:t>Educational Aim</w:t>
            </w:r>
            <w:r>
              <w:rPr>
                <w:rFonts w:ascii="Arial" w:hAnsi="Arial" w:cs="Arial"/>
                <w:b/>
              </w:rPr>
              <w:t>(s):</w:t>
            </w:r>
          </w:p>
        </w:tc>
      </w:tr>
      <w:tr w:rsidR="00E91FE7" w:rsidRPr="006550AA" w14:paraId="41FAC119"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single" w:sz="2" w:space="0" w:color="auto"/>
              <w:bottom w:val="single" w:sz="2" w:space="0" w:color="auto"/>
            </w:tcBorders>
          </w:tcPr>
          <w:p w14:paraId="00AB3CF3" w14:textId="40853D86" w:rsidR="00E91FE7" w:rsidRDefault="001B0493" w:rsidP="00995E09">
            <w:pPr>
              <w:jc w:val="both"/>
              <w:rPr>
                <w:rFonts w:ascii="Arial" w:hAnsi="Arial" w:cs="Arial"/>
              </w:rPr>
            </w:pPr>
            <w:r w:rsidRPr="001B0493">
              <w:rPr>
                <w:rFonts w:ascii="Arial" w:hAnsi="Arial" w:cs="Arial"/>
              </w:rPr>
              <w:t>The class aims to develop students’ knowledge and understanding of sustainable development from multi-disciplinary perspectives. The class will introduce students to the UN’s 17 Sustainable Development Goals, and will explore in depth multidisciplinary perspectives of responding to the challenges of four particular goals, namely: SDG 3 Good Health and Wellbeing, SDG 6 Clean Water and Sanitation, SDG 10 Reduced Inequalities, and SDG 13 Climate action. Through focused study of these four SDG, students will gain an understanding of the different ways in which various disciplines in Business, Engineering, Humanities and Social Sciences, and Science, can contribute to addressing these challenges. In addition to developing academic skills, students will also have the opportunity to develop socio-emotional skills, including reflective skills and the ability to collaborate with, and communicate effectively with, students from other disciplines.</w:t>
            </w:r>
          </w:p>
          <w:p w14:paraId="0472C4F6" w14:textId="00CFD4A9" w:rsidR="00E91FE7" w:rsidRPr="006550AA" w:rsidRDefault="00E91FE7" w:rsidP="005E1B5E">
            <w:pPr>
              <w:jc w:val="both"/>
              <w:rPr>
                <w:rFonts w:ascii="Arial" w:hAnsi="Arial" w:cs="Arial"/>
              </w:rPr>
            </w:pPr>
          </w:p>
        </w:tc>
      </w:tr>
      <w:tr w:rsidR="00E91FE7" w:rsidRPr="006550AA" w14:paraId="42FC29AE"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single" w:sz="2" w:space="0" w:color="auto"/>
              <w:left w:val="nil"/>
              <w:bottom w:val="single" w:sz="4" w:space="0" w:color="auto"/>
              <w:right w:val="nil"/>
            </w:tcBorders>
          </w:tcPr>
          <w:p w14:paraId="4BCEAA9B" w14:textId="03C250C5" w:rsidR="00E91FE7" w:rsidRPr="006550AA" w:rsidRDefault="00E91FE7" w:rsidP="005E1B5E">
            <w:pPr>
              <w:rPr>
                <w:rFonts w:ascii="Arial" w:hAnsi="Arial" w:cs="Arial"/>
                <w:b/>
              </w:rPr>
            </w:pPr>
          </w:p>
          <w:p w14:paraId="5273E3EF" w14:textId="0F54AEC7" w:rsidR="00E91FE7" w:rsidRPr="006550AA" w:rsidRDefault="00E91FE7" w:rsidP="005E1B5E">
            <w:pPr>
              <w:rPr>
                <w:rFonts w:ascii="Arial" w:hAnsi="Arial" w:cs="Arial"/>
                <w:b/>
              </w:rPr>
            </w:pPr>
            <w:r>
              <w:rPr>
                <w:rFonts w:ascii="Arial" w:hAnsi="Arial" w:cs="Arial"/>
                <w:b/>
              </w:rPr>
              <w:t>Place in course:</w:t>
            </w:r>
          </w:p>
        </w:tc>
      </w:tr>
      <w:tr w:rsidR="00E91FE7" w:rsidRPr="006550AA" w14:paraId="11AF3A01"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single" w:sz="4" w:space="0" w:color="auto"/>
              <w:left w:val="single" w:sz="4" w:space="0" w:color="auto"/>
              <w:bottom w:val="single" w:sz="4" w:space="0" w:color="auto"/>
              <w:right w:val="single" w:sz="4" w:space="0" w:color="auto"/>
            </w:tcBorders>
          </w:tcPr>
          <w:p w14:paraId="5AD846ED" w14:textId="06BF0C77" w:rsidR="00E91FE7" w:rsidRDefault="001B0493" w:rsidP="005E1B5E">
            <w:pPr>
              <w:jc w:val="both"/>
              <w:rPr>
                <w:rFonts w:ascii="Arial" w:hAnsi="Arial" w:cs="Arial"/>
              </w:rPr>
            </w:pPr>
            <w:r>
              <w:rPr>
                <w:rFonts w:ascii="Arial" w:hAnsi="Arial" w:cs="Arial"/>
              </w:rPr>
              <w:t>This interdisciplinary class is available as an elective to all undergraduate students.</w:t>
            </w:r>
          </w:p>
          <w:p w14:paraId="7CC44C47" w14:textId="36C3BCCD" w:rsidR="00E91FE7" w:rsidRPr="006550AA" w:rsidRDefault="00E91FE7" w:rsidP="004527DD">
            <w:pPr>
              <w:jc w:val="both"/>
              <w:rPr>
                <w:rFonts w:ascii="Arial" w:hAnsi="Arial" w:cs="Arial"/>
                <w:b/>
              </w:rPr>
            </w:pPr>
          </w:p>
        </w:tc>
      </w:tr>
      <w:tr w:rsidR="00E91FE7" w:rsidRPr="006550AA" w14:paraId="597FC9CB"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single" w:sz="4" w:space="0" w:color="auto"/>
              <w:left w:val="nil"/>
              <w:bottom w:val="single" w:sz="2" w:space="0" w:color="auto"/>
              <w:right w:val="nil"/>
            </w:tcBorders>
          </w:tcPr>
          <w:p w14:paraId="32330D40" w14:textId="52AD840A" w:rsidR="00E91FE7" w:rsidRDefault="00E91FE7" w:rsidP="005E1B5E">
            <w:pPr>
              <w:rPr>
                <w:rFonts w:ascii="Arial" w:hAnsi="Arial" w:cs="Arial"/>
                <w:b/>
              </w:rPr>
            </w:pPr>
          </w:p>
          <w:p w14:paraId="746172D8" w14:textId="5EEFD7B4" w:rsidR="00E91FE7" w:rsidRPr="006550AA" w:rsidRDefault="00E91FE7" w:rsidP="005E1B5E">
            <w:pPr>
              <w:rPr>
                <w:rFonts w:ascii="Arial" w:hAnsi="Arial" w:cs="Arial"/>
                <w:b/>
              </w:rPr>
            </w:pPr>
            <w:r>
              <w:rPr>
                <w:rFonts w:ascii="Arial" w:hAnsi="Arial" w:cs="Arial"/>
                <w:b/>
              </w:rPr>
              <w:t>Content:</w:t>
            </w:r>
          </w:p>
        </w:tc>
      </w:tr>
      <w:tr w:rsidR="00E91FE7" w:rsidRPr="006550AA" w14:paraId="16F50916"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single" w:sz="2" w:space="0" w:color="auto"/>
              <w:bottom w:val="single" w:sz="2" w:space="0" w:color="auto"/>
            </w:tcBorders>
          </w:tcPr>
          <w:p w14:paraId="54155EDA" w14:textId="77777777" w:rsidR="000F09BE" w:rsidRDefault="000F09BE" w:rsidP="00995E09">
            <w:pPr>
              <w:jc w:val="both"/>
              <w:rPr>
                <w:rFonts w:ascii="Arial" w:hAnsi="Arial" w:cs="Arial"/>
              </w:rPr>
            </w:pPr>
            <w:r>
              <w:rPr>
                <w:rFonts w:ascii="Arial" w:hAnsi="Arial" w:cs="Arial"/>
              </w:rPr>
              <w:t>Week 1</w:t>
            </w:r>
          </w:p>
          <w:p w14:paraId="64173C9B" w14:textId="3429D311" w:rsidR="00E91FE7" w:rsidRDefault="000F09BE" w:rsidP="00995E09">
            <w:pPr>
              <w:jc w:val="both"/>
              <w:rPr>
                <w:rFonts w:ascii="Arial" w:hAnsi="Arial" w:cs="Arial"/>
              </w:rPr>
            </w:pPr>
            <w:r>
              <w:rPr>
                <w:rFonts w:ascii="Arial" w:hAnsi="Arial" w:cs="Arial"/>
              </w:rPr>
              <w:t xml:space="preserve">Students will have the opportunity to reflect on their current understanding of the Sustainable Development Goals (SDGs) at the start of the class. An introduction to all 17 SDGs will be provided. Students will receive instruction on reflective writing and the range of resources available to support their assessment. </w:t>
            </w:r>
          </w:p>
          <w:p w14:paraId="60294954" w14:textId="77777777" w:rsidR="000F09BE" w:rsidRDefault="000F09BE" w:rsidP="00995E09">
            <w:pPr>
              <w:jc w:val="both"/>
              <w:rPr>
                <w:rFonts w:ascii="Arial" w:hAnsi="Arial" w:cs="Arial"/>
              </w:rPr>
            </w:pPr>
            <w:r>
              <w:rPr>
                <w:rFonts w:ascii="Arial" w:hAnsi="Arial" w:cs="Arial"/>
              </w:rPr>
              <w:t xml:space="preserve">Week 2 </w:t>
            </w:r>
          </w:p>
          <w:p w14:paraId="211FD486" w14:textId="704C5AFB" w:rsidR="000F09BE" w:rsidRDefault="000F09BE" w:rsidP="00995E09">
            <w:pPr>
              <w:jc w:val="both"/>
              <w:rPr>
                <w:rFonts w:ascii="Arial" w:hAnsi="Arial" w:cs="Arial"/>
              </w:rPr>
            </w:pPr>
            <w:r>
              <w:rPr>
                <w:rFonts w:ascii="Arial" w:hAnsi="Arial" w:cs="Arial"/>
              </w:rPr>
              <w:t>SDG3 will be introduced and information from a member of staff from each Faculty will be introduced outlining how they contribute to tackling SDG3.</w:t>
            </w:r>
          </w:p>
          <w:p w14:paraId="3C4B35C3" w14:textId="78A5693D" w:rsidR="000F09BE" w:rsidRDefault="000F09BE" w:rsidP="00995E09">
            <w:pPr>
              <w:jc w:val="both"/>
              <w:rPr>
                <w:rFonts w:ascii="Arial" w:hAnsi="Arial" w:cs="Arial"/>
              </w:rPr>
            </w:pPr>
            <w:r>
              <w:rPr>
                <w:rFonts w:ascii="Arial" w:hAnsi="Arial" w:cs="Arial"/>
              </w:rPr>
              <w:t>Week 3</w:t>
            </w:r>
          </w:p>
          <w:p w14:paraId="439309DE" w14:textId="4ACCEFEE" w:rsidR="000F09BE" w:rsidRDefault="000F09BE" w:rsidP="000F09BE">
            <w:pPr>
              <w:jc w:val="both"/>
              <w:rPr>
                <w:rFonts w:ascii="Arial" w:hAnsi="Arial" w:cs="Arial"/>
              </w:rPr>
            </w:pPr>
            <w:r>
              <w:rPr>
                <w:rFonts w:ascii="Arial" w:hAnsi="Arial" w:cs="Arial"/>
              </w:rPr>
              <w:t>Students will identify relevant research from their own discipline which they will share with their group and will construct a digest of their research findings. Students will also complete a reflective blog and submit written minutes of their group activity.</w:t>
            </w:r>
          </w:p>
          <w:p w14:paraId="435B43BA" w14:textId="3020F73A" w:rsidR="000F09BE" w:rsidRDefault="000F09BE" w:rsidP="000F09BE">
            <w:pPr>
              <w:jc w:val="both"/>
              <w:rPr>
                <w:rFonts w:ascii="Arial" w:hAnsi="Arial" w:cs="Arial"/>
              </w:rPr>
            </w:pPr>
            <w:r>
              <w:rPr>
                <w:rFonts w:ascii="Arial" w:hAnsi="Arial" w:cs="Arial"/>
              </w:rPr>
              <w:t>Week 4</w:t>
            </w:r>
          </w:p>
          <w:p w14:paraId="1F42021A" w14:textId="4BDF108B" w:rsidR="000F09BE" w:rsidRDefault="000F09BE" w:rsidP="000F09BE">
            <w:pPr>
              <w:jc w:val="both"/>
              <w:rPr>
                <w:rFonts w:ascii="Arial" w:hAnsi="Arial" w:cs="Arial"/>
              </w:rPr>
            </w:pPr>
            <w:r>
              <w:rPr>
                <w:rFonts w:ascii="Arial" w:hAnsi="Arial" w:cs="Arial"/>
              </w:rPr>
              <w:t>SDG6 will be introduced and information from a member of staff from each Faculty will be introduced outlining how they contribute to tackling SDG6.</w:t>
            </w:r>
          </w:p>
          <w:p w14:paraId="42575685" w14:textId="52974E5F" w:rsidR="000F09BE" w:rsidRDefault="000F09BE" w:rsidP="000F09BE">
            <w:pPr>
              <w:jc w:val="both"/>
              <w:rPr>
                <w:rFonts w:ascii="Arial" w:hAnsi="Arial" w:cs="Arial"/>
              </w:rPr>
            </w:pPr>
            <w:r>
              <w:rPr>
                <w:rFonts w:ascii="Arial" w:hAnsi="Arial" w:cs="Arial"/>
              </w:rPr>
              <w:t>Week 5</w:t>
            </w:r>
          </w:p>
          <w:p w14:paraId="2B9EF333" w14:textId="77777777" w:rsidR="000F09BE" w:rsidRDefault="000F09BE" w:rsidP="000F09BE">
            <w:pPr>
              <w:jc w:val="both"/>
              <w:rPr>
                <w:rFonts w:ascii="Arial" w:hAnsi="Arial" w:cs="Arial"/>
              </w:rPr>
            </w:pPr>
            <w:r>
              <w:rPr>
                <w:rFonts w:ascii="Arial" w:hAnsi="Arial" w:cs="Arial"/>
              </w:rPr>
              <w:lastRenderedPageBreak/>
              <w:t>Students will identify relevant research from their own discipline which they will share with their group and will construct a digest of their research findings. Students will also complete a reflective blog and submit written minutes of their group activity.</w:t>
            </w:r>
          </w:p>
          <w:p w14:paraId="74778515" w14:textId="55100CB0" w:rsidR="000F09BE" w:rsidRDefault="000F09BE" w:rsidP="000F09BE">
            <w:pPr>
              <w:jc w:val="both"/>
              <w:rPr>
                <w:rFonts w:ascii="Arial" w:hAnsi="Arial" w:cs="Arial"/>
              </w:rPr>
            </w:pPr>
            <w:r>
              <w:rPr>
                <w:rFonts w:ascii="Arial" w:hAnsi="Arial" w:cs="Arial"/>
              </w:rPr>
              <w:t xml:space="preserve">Week 6 </w:t>
            </w:r>
          </w:p>
          <w:p w14:paraId="2839672C" w14:textId="5A0FBC4D" w:rsidR="000F09BE" w:rsidRDefault="000F09BE" w:rsidP="000F09BE">
            <w:pPr>
              <w:jc w:val="both"/>
              <w:rPr>
                <w:rFonts w:ascii="Arial" w:hAnsi="Arial" w:cs="Arial"/>
              </w:rPr>
            </w:pPr>
            <w:r>
              <w:rPr>
                <w:rFonts w:ascii="Arial" w:hAnsi="Arial" w:cs="Arial"/>
              </w:rPr>
              <w:t>SDG10 will be introduced and information from a member of staff from each Faculty will be introduced outlining how they contribute to tackling SDG10.</w:t>
            </w:r>
          </w:p>
          <w:p w14:paraId="3D37D63B" w14:textId="0D9D18EE" w:rsidR="000F09BE" w:rsidRDefault="000F09BE" w:rsidP="000F09BE">
            <w:pPr>
              <w:jc w:val="both"/>
              <w:rPr>
                <w:rFonts w:ascii="Arial" w:hAnsi="Arial" w:cs="Arial"/>
              </w:rPr>
            </w:pPr>
            <w:r>
              <w:rPr>
                <w:rFonts w:ascii="Arial" w:hAnsi="Arial" w:cs="Arial"/>
              </w:rPr>
              <w:t>Week 7</w:t>
            </w:r>
          </w:p>
          <w:p w14:paraId="222267B5" w14:textId="77777777" w:rsidR="000F09BE" w:rsidRDefault="000F09BE" w:rsidP="000F09BE">
            <w:pPr>
              <w:jc w:val="both"/>
              <w:rPr>
                <w:rFonts w:ascii="Arial" w:hAnsi="Arial" w:cs="Arial"/>
              </w:rPr>
            </w:pPr>
            <w:r>
              <w:rPr>
                <w:rFonts w:ascii="Arial" w:hAnsi="Arial" w:cs="Arial"/>
              </w:rPr>
              <w:t>Students will identify relevant research from their own discipline which they will share with their group and will construct a digest of their research findings. Students will also complete a reflective blog and submit written minutes of their group activity.</w:t>
            </w:r>
          </w:p>
          <w:p w14:paraId="5CD75FE5" w14:textId="4327D48C" w:rsidR="000F09BE" w:rsidRDefault="000F09BE" w:rsidP="000F09BE">
            <w:pPr>
              <w:jc w:val="both"/>
              <w:rPr>
                <w:rFonts w:ascii="Arial" w:hAnsi="Arial" w:cs="Arial"/>
              </w:rPr>
            </w:pPr>
            <w:r>
              <w:rPr>
                <w:rFonts w:ascii="Arial" w:hAnsi="Arial" w:cs="Arial"/>
              </w:rPr>
              <w:t xml:space="preserve">Week 8 </w:t>
            </w:r>
          </w:p>
          <w:p w14:paraId="4D86C4BC" w14:textId="15B600C8" w:rsidR="000F09BE" w:rsidRDefault="000F09BE" w:rsidP="000F09BE">
            <w:pPr>
              <w:jc w:val="both"/>
              <w:rPr>
                <w:rFonts w:ascii="Arial" w:hAnsi="Arial" w:cs="Arial"/>
              </w:rPr>
            </w:pPr>
            <w:r>
              <w:rPr>
                <w:rFonts w:ascii="Arial" w:hAnsi="Arial" w:cs="Arial"/>
              </w:rPr>
              <w:t>SDG13 will be introduced and information from a member of staff from each Faculty will be introduced outlining how they contribute to tackling SDG13.</w:t>
            </w:r>
          </w:p>
          <w:p w14:paraId="46363364" w14:textId="570230D8" w:rsidR="000F09BE" w:rsidRDefault="000F09BE" w:rsidP="000F09BE">
            <w:pPr>
              <w:jc w:val="both"/>
              <w:rPr>
                <w:rFonts w:ascii="Arial" w:hAnsi="Arial" w:cs="Arial"/>
              </w:rPr>
            </w:pPr>
            <w:r>
              <w:rPr>
                <w:rFonts w:ascii="Arial" w:hAnsi="Arial" w:cs="Arial"/>
              </w:rPr>
              <w:t>Week 9</w:t>
            </w:r>
          </w:p>
          <w:p w14:paraId="285E6E07" w14:textId="3363E6A6" w:rsidR="000F09BE" w:rsidRDefault="000F09BE" w:rsidP="000F09BE">
            <w:pPr>
              <w:jc w:val="both"/>
              <w:rPr>
                <w:rFonts w:ascii="Arial" w:hAnsi="Arial" w:cs="Arial"/>
              </w:rPr>
            </w:pPr>
            <w:r>
              <w:rPr>
                <w:rFonts w:ascii="Arial" w:hAnsi="Arial" w:cs="Arial"/>
              </w:rPr>
              <w:t>Students will identify relevant research from their own discipline which they will share with their group and will construct a digest of their research findings. Students will also complete a reflective blog and submit written minutes of their group activity.</w:t>
            </w:r>
          </w:p>
          <w:p w14:paraId="1A944DC4" w14:textId="126D4458" w:rsidR="000F09BE" w:rsidRDefault="000F09BE" w:rsidP="000F09BE">
            <w:pPr>
              <w:jc w:val="both"/>
              <w:rPr>
                <w:rFonts w:ascii="Arial" w:hAnsi="Arial" w:cs="Arial"/>
              </w:rPr>
            </w:pPr>
            <w:r>
              <w:rPr>
                <w:rFonts w:ascii="Arial" w:hAnsi="Arial" w:cs="Arial"/>
              </w:rPr>
              <w:t xml:space="preserve">Week 10 </w:t>
            </w:r>
          </w:p>
          <w:p w14:paraId="04E3A1DD" w14:textId="7CD4B473" w:rsidR="00BA2657" w:rsidRDefault="00BA2657" w:rsidP="000F09BE">
            <w:pPr>
              <w:jc w:val="both"/>
              <w:rPr>
                <w:rFonts w:ascii="Arial" w:hAnsi="Arial" w:cs="Arial"/>
              </w:rPr>
            </w:pPr>
            <w:r>
              <w:rPr>
                <w:rFonts w:ascii="Arial" w:hAnsi="Arial" w:cs="Arial"/>
              </w:rPr>
              <w:t>Students work collaboratively to design an SDG resource for assessment. Guidance will be provided through an online meeting with their supervisor. Students will submit written minutes of their group activity.</w:t>
            </w:r>
          </w:p>
          <w:p w14:paraId="18945B10" w14:textId="6FE3D0C5" w:rsidR="00BA2657" w:rsidRDefault="00BA2657" w:rsidP="000F09BE">
            <w:pPr>
              <w:jc w:val="both"/>
              <w:rPr>
                <w:rFonts w:ascii="Arial" w:hAnsi="Arial" w:cs="Arial"/>
              </w:rPr>
            </w:pPr>
            <w:r>
              <w:rPr>
                <w:rFonts w:ascii="Arial" w:hAnsi="Arial" w:cs="Arial"/>
              </w:rPr>
              <w:t>Week 11</w:t>
            </w:r>
          </w:p>
          <w:p w14:paraId="004E95E8" w14:textId="3B7580B5" w:rsidR="00BA2657" w:rsidRDefault="00BA2657" w:rsidP="00BA2657">
            <w:pPr>
              <w:jc w:val="both"/>
              <w:rPr>
                <w:rFonts w:ascii="Arial" w:hAnsi="Arial" w:cs="Arial"/>
              </w:rPr>
            </w:pPr>
            <w:r>
              <w:rPr>
                <w:rFonts w:ascii="Arial" w:hAnsi="Arial" w:cs="Arial"/>
              </w:rPr>
              <w:t>Students work collaboratively to design an SDG resource for assessment. Guidance will be provided through an online meeting with their supervisor. Students will submit written minutes of their group activity.</w:t>
            </w:r>
          </w:p>
          <w:p w14:paraId="25D76FEE" w14:textId="51446B03" w:rsidR="00BA2657" w:rsidRDefault="00BA2657" w:rsidP="00BA2657">
            <w:pPr>
              <w:jc w:val="both"/>
              <w:rPr>
                <w:rFonts w:ascii="Arial" w:hAnsi="Arial" w:cs="Arial"/>
              </w:rPr>
            </w:pPr>
            <w:r>
              <w:rPr>
                <w:rFonts w:ascii="Arial" w:hAnsi="Arial" w:cs="Arial"/>
              </w:rPr>
              <w:t>Week 12</w:t>
            </w:r>
          </w:p>
          <w:p w14:paraId="0D412354" w14:textId="2038ADB6" w:rsidR="00E91FE7" w:rsidRPr="006550AA" w:rsidRDefault="00BA2657" w:rsidP="004527DD">
            <w:pPr>
              <w:jc w:val="both"/>
              <w:rPr>
                <w:rFonts w:ascii="Arial" w:hAnsi="Arial" w:cs="Arial"/>
              </w:rPr>
            </w:pPr>
            <w:r>
              <w:rPr>
                <w:rFonts w:ascii="Arial" w:hAnsi="Arial" w:cs="Arial"/>
              </w:rPr>
              <w:t>Students work collaboratively to design an SDG resource for assessment. Students will submit written minutes of their group activity. Students will submit their SDG resource for assessment.</w:t>
            </w:r>
          </w:p>
        </w:tc>
      </w:tr>
      <w:tr w:rsidR="00E91FE7" w:rsidRPr="006550AA" w14:paraId="4F488676"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single" w:sz="2" w:space="0" w:color="auto"/>
              <w:left w:val="nil"/>
              <w:bottom w:val="single" w:sz="2" w:space="0" w:color="auto"/>
              <w:right w:val="nil"/>
            </w:tcBorders>
          </w:tcPr>
          <w:p w14:paraId="0CA9FFDB" w14:textId="0C5A0228" w:rsidR="00E91FE7" w:rsidRDefault="00E91FE7" w:rsidP="005E1B5E">
            <w:pPr>
              <w:rPr>
                <w:rFonts w:ascii="Arial" w:hAnsi="Arial" w:cs="Arial"/>
                <w:b/>
              </w:rPr>
            </w:pPr>
          </w:p>
          <w:p w14:paraId="7724867E" w14:textId="6B007C35" w:rsidR="00E91FE7" w:rsidRPr="006550AA" w:rsidRDefault="00E91FE7" w:rsidP="005E1B5E">
            <w:pPr>
              <w:rPr>
                <w:rFonts w:ascii="Arial" w:hAnsi="Arial" w:cs="Arial"/>
                <w:b/>
              </w:rPr>
            </w:pPr>
            <w:r w:rsidRPr="006550AA">
              <w:rPr>
                <w:rFonts w:ascii="Arial" w:hAnsi="Arial" w:cs="Arial"/>
                <w:b/>
              </w:rPr>
              <w:t>Learning O</w:t>
            </w:r>
            <w:r>
              <w:rPr>
                <w:rFonts w:ascii="Arial" w:hAnsi="Arial" w:cs="Arial"/>
                <w:b/>
              </w:rPr>
              <w:t>bjectives:</w:t>
            </w:r>
          </w:p>
        </w:tc>
      </w:tr>
      <w:tr w:rsidR="00E91FE7" w:rsidRPr="006550AA" w14:paraId="539A6612"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single" w:sz="2" w:space="0" w:color="auto"/>
              <w:bottom w:val="single" w:sz="2" w:space="0" w:color="auto"/>
            </w:tcBorders>
          </w:tcPr>
          <w:p w14:paraId="2C5B2BEB" w14:textId="3E43E195" w:rsidR="00E91FE7" w:rsidRDefault="00DD5496" w:rsidP="007257A6">
            <w:pPr>
              <w:rPr>
                <w:rFonts w:ascii="Arial" w:hAnsi="Arial" w:cs="Arial"/>
                <w:b/>
              </w:rPr>
            </w:pPr>
            <w:r w:rsidRPr="003B021A">
              <w:rPr>
                <w:rFonts w:ascii="Arial" w:hAnsi="Arial" w:cs="Arial"/>
                <w:b/>
              </w:rPr>
              <w:t>Knowledge and Understanding:</w:t>
            </w:r>
          </w:p>
          <w:p w14:paraId="67EDE5E4" w14:textId="77777777"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demonstrate a critical understanding of the SDG agenda, and will be able to summarise the key challenges that are addressed in each of the four SDG explored in depth.</w:t>
            </w:r>
          </w:p>
          <w:p w14:paraId="2C994687" w14:textId="77777777"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demonstrate an understanding of the four SDG in a local, national and global context, and of the complex inter-relationships between each SDG.</w:t>
            </w:r>
          </w:p>
          <w:p w14:paraId="0F3375B3" w14:textId="77777777"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demonstrate an understanding of how the SDG can be addressed from the perspective of their own disciplines, and from the perspectives of other disciplines.</w:t>
            </w:r>
          </w:p>
          <w:p w14:paraId="1E6F5268" w14:textId="5194B0B7" w:rsidR="00DD5496" w:rsidRPr="007257A6" w:rsidRDefault="007257A6" w:rsidP="005E1B5E">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develop a critical understanding of the some of the key social, environmental, economic, ethical, and cultural issues in meeting the SDG.</w:t>
            </w:r>
          </w:p>
          <w:p w14:paraId="1FC6C7F8" w14:textId="3B246ED2" w:rsidR="00DD5496" w:rsidRDefault="00DD5496" w:rsidP="005E1B5E">
            <w:pPr>
              <w:rPr>
                <w:rFonts w:ascii="Arial" w:hAnsi="Arial" w:cs="Arial"/>
              </w:rPr>
            </w:pPr>
          </w:p>
          <w:p w14:paraId="52DAA8E4" w14:textId="48EFF98E" w:rsidR="00E91FE7" w:rsidRPr="004111B0" w:rsidRDefault="00DD5496" w:rsidP="004111B0">
            <w:pPr>
              <w:rPr>
                <w:rFonts w:ascii="Arial" w:hAnsi="Arial" w:cs="Arial"/>
                <w:b/>
              </w:rPr>
            </w:pPr>
            <w:r w:rsidRPr="003B021A">
              <w:rPr>
                <w:rFonts w:ascii="Arial" w:hAnsi="Arial" w:cs="Arial"/>
                <w:b/>
              </w:rPr>
              <w:t>Transferable skills:</w:t>
            </w:r>
          </w:p>
          <w:p w14:paraId="1AA2A221" w14:textId="59B3DB42"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develop reflective skills and apply these skills to understand and reflect on their own attitudes and behaviour in relation to each SDG, and the underpinning norms and values.</w:t>
            </w:r>
          </w:p>
          <w:p w14:paraId="6C327AAB" w14:textId="77777777"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develop the ability to work collaboratively in multi-disciplinary teams.</w:t>
            </w:r>
          </w:p>
          <w:p w14:paraId="6798D22D" w14:textId="77777777"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 xml:space="preserve">Students will develop the ability to communicate effectively within and across disciplines. </w:t>
            </w:r>
          </w:p>
          <w:p w14:paraId="6CC40374" w14:textId="77777777"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develop the ability to collect, analyse, organise and evaluate relevant information.</w:t>
            </w:r>
          </w:p>
          <w:p w14:paraId="75C3A37F" w14:textId="4288F280" w:rsidR="007257A6" w:rsidRPr="004111B0"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develop skills in problem-solving, decision-making, and action planning within multi-disciplinary teams.</w:t>
            </w:r>
          </w:p>
          <w:p w14:paraId="6D64464E" w14:textId="6DE55FA7"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develop people-oriented approaches to their work in being sensitive to, valuing and respecting the diverse needs, perspectives and actions of others.</w:t>
            </w:r>
          </w:p>
          <w:p w14:paraId="3AEA1240" w14:textId="77777777"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develop awareness of their own agency, and the value of working collaboratively, in advancing sustainable development.</w:t>
            </w:r>
          </w:p>
          <w:p w14:paraId="40CAFB17" w14:textId="77777777" w:rsidR="007257A6" w:rsidRPr="007257A6" w:rsidRDefault="007257A6" w:rsidP="007257A6">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Students will become bold advocates for inter-generational and global social justice.</w:t>
            </w:r>
          </w:p>
          <w:p w14:paraId="098522F2" w14:textId="73C42FA6" w:rsidR="00E91FE7" w:rsidRPr="004111B0" w:rsidRDefault="007257A6" w:rsidP="006405F4">
            <w:pPr>
              <w:pStyle w:val="ListParagraph"/>
              <w:numPr>
                <w:ilvl w:val="0"/>
                <w:numId w:val="4"/>
              </w:numPr>
              <w:overflowPunct/>
              <w:autoSpaceDE/>
              <w:autoSpaceDN/>
              <w:adjustRightInd/>
              <w:spacing w:before="240" w:line="276" w:lineRule="auto"/>
              <w:jc w:val="both"/>
              <w:textAlignment w:val="auto"/>
              <w:rPr>
                <w:rFonts w:ascii="Arial" w:hAnsi="Arial" w:cs="Arial"/>
                <w:color w:val="000000" w:themeColor="text1"/>
              </w:rPr>
            </w:pPr>
            <w:r w:rsidRPr="007257A6">
              <w:rPr>
                <w:rFonts w:ascii="Arial" w:hAnsi="Arial" w:cs="Arial"/>
                <w:color w:val="000000" w:themeColor="text1"/>
              </w:rPr>
              <w:t xml:space="preserve">Students will develop awareness of the innovation in thinking, policy and practice within their discipline, and others, addressing the SDG outcomes </w:t>
            </w:r>
          </w:p>
        </w:tc>
      </w:tr>
      <w:tr w:rsidR="00E91FE7" w:rsidRPr="006550AA" w14:paraId="5B796A84"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nil"/>
              <w:left w:val="nil"/>
              <w:bottom w:val="single" w:sz="2" w:space="0" w:color="auto"/>
              <w:right w:val="nil"/>
            </w:tcBorders>
          </w:tcPr>
          <w:p w14:paraId="654A974E" w14:textId="5BC79FD2" w:rsidR="00E91FE7" w:rsidRPr="006550AA" w:rsidRDefault="00E91FE7" w:rsidP="005E1B5E">
            <w:pPr>
              <w:rPr>
                <w:rFonts w:ascii="Arial" w:hAnsi="Arial" w:cs="Arial"/>
                <w:b/>
              </w:rPr>
            </w:pPr>
          </w:p>
          <w:p w14:paraId="799B7236" w14:textId="452512D4" w:rsidR="00E91FE7" w:rsidRPr="006550AA" w:rsidRDefault="00E91FE7" w:rsidP="005E1B5E">
            <w:pPr>
              <w:rPr>
                <w:rFonts w:ascii="Arial" w:hAnsi="Arial" w:cs="Arial"/>
                <w:b/>
              </w:rPr>
            </w:pPr>
            <w:r>
              <w:rPr>
                <w:rFonts w:ascii="Arial" w:hAnsi="Arial" w:cs="Arial"/>
                <w:b/>
              </w:rPr>
              <w:t>Teaching, Learning and Assessment Methods:</w:t>
            </w:r>
          </w:p>
        </w:tc>
      </w:tr>
      <w:tr w:rsidR="00E91FE7" w:rsidRPr="006550AA" w14:paraId="6D7053BE" w14:textId="77777777" w:rsidTr="004111B0">
        <w:tblPrEx>
          <w:tblBorders>
            <w:top w:val="single" w:sz="2" w:space="0" w:color="auto"/>
            <w:left w:val="single" w:sz="2" w:space="0" w:color="auto"/>
            <w:bottom w:val="single" w:sz="2" w:space="0" w:color="auto"/>
            <w:right w:val="single" w:sz="2" w:space="0" w:color="auto"/>
          </w:tblBorders>
        </w:tblPrEx>
        <w:tc>
          <w:tcPr>
            <w:tcW w:w="10350" w:type="dxa"/>
            <w:gridSpan w:val="7"/>
            <w:tcBorders>
              <w:top w:val="single" w:sz="2" w:space="0" w:color="auto"/>
              <w:bottom w:val="single" w:sz="2" w:space="0" w:color="auto"/>
            </w:tcBorders>
          </w:tcPr>
          <w:p w14:paraId="5BF82F2E" w14:textId="23D7723A" w:rsidR="00E91FE7" w:rsidRPr="006550AA" w:rsidRDefault="00E91FE7" w:rsidP="005E1B5E">
            <w:pPr>
              <w:rPr>
                <w:rFonts w:ascii="Arial" w:hAnsi="Arial" w:cs="Arial"/>
                <w:b/>
              </w:rPr>
            </w:pPr>
          </w:p>
          <w:p w14:paraId="5B36E0C2" w14:textId="190939B8" w:rsidR="00E91FE7" w:rsidRDefault="00E91FE7" w:rsidP="005E1B5E">
            <w:pPr>
              <w:rPr>
                <w:rFonts w:ascii="Arial" w:hAnsi="Arial" w:cs="Arial"/>
                <w:b/>
              </w:rPr>
            </w:pPr>
            <w:r>
              <w:rPr>
                <w:rFonts w:ascii="Arial" w:hAnsi="Arial" w:cs="Arial"/>
                <w:b/>
              </w:rPr>
              <w:t>Methods of Teaching and Learning</w:t>
            </w:r>
          </w:p>
          <w:p w14:paraId="557A8376" w14:textId="3E45C264" w:rsidR="00E91FE7" w:rsidRPr="007257A6" w:rsidRDefault="007257A6" w:rsidP="005E1B5E">
            <w:pPr>
              <w:rPr>
                <w:rFonts w:ascii="Arial" w:hAnsi="Arial" w:cs="Arial"/>
              </w:rPr>
            </w:pPr>
            <w:r>
              <w:rPr>
                <w:rFonts w:ascii="Arial" w:hAnsi="Arial" w:cs="Arial"/>
              </w:rPr>
              <w:t>Students will complete individual tasks but will then work together with students from different disciplines to develop a resource which is informed by each individual’s research.</w:t>
            </w:r>
          </w:p>
          <w:p w14:paraId="12D446C6" w14:textId="328EDDD1" w:rsidR="000327BA" w:rsidRDefault="000327BA" w:rsidP="005E1B5E">
            <w:pPr>
              <w:rPr>
                <w:rFonts w:ascii="Arial" w:hAnsi="Arial" w:cs="Arial"/>
                <w:b/>
              </w:rPr>
            </w:pPr>
          </w:p>
          <w:p w14:paraId="11F8182C" w14:textId="77777777" w:rsidR="00E91FE7" w:rsidRDefault="00E91FE7" w:rsidP="005E1B5E">
            <w:pPr>
              <w:rPr>
                <w:rFonts w:ascii="Arial" w:hAnsi="Arial" w:cs="Arial"/>
                <w:b/>
              </w:rPr>
            </w:pPr>
            <w:r>
              <w:rPr>
                <w:rFonts w:ascii="Arial" w:hAnsi="Arial" w:cs="Arial"/>
                <w:b/>
              </w:rPr>
              <w:t>Assessment and Feedback</w:t>
            </w:r>
          </w:p>
          <w:p w14:paraId="0828927E" w14:textId="42A00D2F" w:rsidR="00E91FE7" w:rsidRDefault="00E91FE7" w:rsidP="005E1B5E">
            <w:pPr>
              <w:rPr>
                <w:rFonts w:ascii="Arial" w:hAnsi="Arial" w:cs="Arial"/>
                <w:b/>
              </w:rPr>
            </w:pPr>
            <w:r w:rsidRPr="004D0E61">
              <w:rPr>
                <w:rFonts w:ascii="Arial" w:hAnsi="Arial" w:cs="Arial"/>
              </w:rPr>
              <w:t>The assessment</w:t>
            </w:r>
            <w:r>
              <w:rPr>
                <w:rFonts w:ascii="Arial" w:hAnsi="Arial" w:cs="Arial"/>
              </w:rPr>
              <w:t xml:space="preserve"> for this class is designed </w:t>
            </w:r>
            <w:r w:rsidR="00317D54">
              <w:rPr>
                <w:rFonts w:ascii="Arial" w:hAnsi="Arial" w:cs="Arial"/>
              </w:rPr>
              <w:t>to support student’s attainment of the learning objectives for the class.</w:t>
            </w:r>
            <w:r>
              <w:rPr>
                <w:rFonts w:ascii="Arial" w:hAnsi="Arial" w:cs="Arial"/>
              </w:rPr>
              <w:t xml:space="preserve"> The criteria for assessing students’ work in this class will be posted on the MyPlace Page. </w:t>
            </w:r>
          </w:p>
          <w:p w14:paraId="635965A4" w14:textId="77777777" w:rsidR="00E91FE7" w:rsidRPr="006550AA" w:rsidRDefault="00E91FE7" w:rsidP="005E1B5E">
            <w:pPr>
              <w:rPr>
                <w:rFonts w:ascii="Arial" w:hAnsi="Arial" w:cs="Arial"/>
                <w:b/>
              </w:rPr>
            </w:pPr>
          </w:p>
          <w:tbl>
            <w:tblPr>
              <w:tblStyle w:val="TableGrid"/>
              <w:tblW w:w="9808" w:type="dxa"/>
              <w:tblLook w:val="04A0" w:firstRow="1" w:lastRow="0" w:firstColumn="1" w:lastColumn="0" w:noHBand="0" w:noVBand="1"/>
            </w:tblPr>
            <w:tblGrid>
              <w:gridCol w:w="4248"/>
              <w:gridCol w:w="1324"/>
              <w:gridCol w:w="1360"/>
              <w:gridCol w:w="1737"/>
              <w:gridCol w:w="1139"/>
            </w:tblGrid>
            <w:tr w:rsidR="002E2B3E" w14:paraId="371FE5A5" w14:textId="77777777" w:rsidTr="00030D4F">
              <w:trPr>
                <w:trHeight w:val="234"/>
              </w:trPr>
              <w:tc>
                <w:tcPr>
                  <w:tcW w:w="0" w:type="auto"/>
                </w:tcPr>
                <w:p w14:paraId="3E9BA991" w14:textId="09C25E43" w:rsidR="00030D4F" w:rsidRPr="00EE4B28" w:rsidRDefault="00030D4F" w:rsidP="007905D5">
                  <w:pPr>
                    <w:rPr>
                      <w:rFonts w:ascii="Arial" w:hAnsi="Arial" w:cs="Arial"/>
                      <w:b/>
                    </w:rPr>
                  </w:pPr>
                  <w:r w:rsidRPr="00EE4B28">
                    <w:rPr>
                      <w:rFonts w:ascii="Arial" w:hAnsi="Arial" w:cs="Arial"/>
                      <w:b/>
                    </w:rPr>
                    <w:t>Assessment</w:t>
                  </w:r>
                </w:p>
              </w:tc>
              <w:tc>
                <w:tcPr>
                  <w:tcW w:w="0" w:type="auto"/>
                </w:tcPr>
                <w:p w14:paraId="74C4FFBB" w14:textId="00A6D67C" w:rsidR="00030D4F" w:rsidRPr="00EE4B28" w:rsidRDefault="00030D4F" w:rsidP="007905D5">
                  <w:pPr>
                    <w:rPr>
                      <w:rFonts w:ascii="Arial" w:hAnsi="Arial" w:cs="Arial"/>
                      <w:b/>
                    </w:rPr>
                  </w:pPr>
                  <w:r w:rsidRPr="00EE4B28">
                    <w:rPr>
                      <w:rFonts w:ascii="Arial" w:hAnsi="Arial" w:cs="Arial"/>
                      <w:b/>
                    </w:rPr>
                    <w:t>Weighting</w:t>
                  </w:r>
                </w:p>
              </w:tc>
              <w:tc>
                <w:tcPr>
                  <w:tcW w:w="0" w:type="auto"/>
                </w:tcPr>
                <w:p w14:paraId="6F033E83" w14:textId="7008186F" w:rsidR="00030D4F" w:rsidRPr="00EE4B28" w:rsidRDefault="00030D4F" w:rsidP="007905D5">
                  <w:pPr>
                    <w:rPr>
                      <w:rFonts w:ascii="Arial" w:hAnsi="Arial" w:cs="Arial"/>
                      <w:b/>
                    </w:rPr>
                  </w:pPr>
                  <w:r w:rsidRPr="00EE4B28">
                    <w:rPr>
                      <w:rFonts w:ascii="Arial" w:hAnsi="Arial" w:cs="Arial"/>
                      <w:b/>
                    </w:rPr>
                    <w:t>Alignment with LO</w:t>
                  </w:r>
                </w:p>
              </w:tc>
              <w:tc>
                <w:tcPr>
                  <w:tcW w:w="0" w:type="auto"/>
                </w:tcPr>
                <w:p w14:paraId="66CF5380" w14:textId="76341D93" w:rsidR="00030D4F" w:rsidRPr="00EE4B28" w:rsidRDefault="00030D4F" w:rsidP="007905D5">
                  <w:pPr>
                    <w:rPr>
                      <w:rFonts w:ascii="Arial" w:hAnsi="Arial" w:cs="Arial"/>
                      <w:b/>
                    </w:rPr>
                  </w:pPr>
                  <w:r w:rsidRPr="00EE4B28">
                    <w:rPr>
                      <w:rFonts w:ascii="Arial" w:hAnsi="Arial" w:cs="Arial"/>
                      <w:b/>
                    </w:rPr>
                    <w:t>Due</w:t>
                  </w:r>
                </w:p>
              </w:tc>
              <w:tc>
                <w:tcPr>
                  <w:tcW w:w="0" w:type="auto"/>
                </w:tcPr>
                <w:p w14:paraId="6A821BE0" w14:textId="27579A83" w:rsidR="00030D4F" w:rsidRPr="00EE4B28" w:rsidRDefault="00030D4F" w:rsidP="007905D5">
                  <w:pPr>
                    <w:rPr>
                      <w:rFonts w:ascii="Arial" w:hAnsi="Arial" w:cs="Arial"/>
                      <w:b/>
                    </w:rPr>
                  </w:pPr>
                  <w:r w:rsidRPr="00EE4B28">
                    <w:rPr>
                      <w:rFonts w:ascii="Arial" w:hAnsi="Arial" w:cs="Arial"/>
                      <w:b/>
                    </w:rPr>
                    <w:t>Feedback</w:t>
                  </w:r>
                </w:p>
              </w:tc>
            </w:tr>
            <w:tr w:rsidR="002E2B3E" w14:paraId="72C14B34" w14:textId="77777777" w:rsidTr="00030D4F">
              <w:trPr>
                <w:trHeight w:val="219"/>
              </w:trPr>
              <w:tc>
                <w:tcPr>
                  <w:tcW w:w="0" w:type="auto"/>
                </w:tcPr>
                <w:p w14:paraId="5DB9CA53" w14:textId="6B64E4E4" w:rsidR="00030D4F" w:rsidRDefault="007257A6" w:rsidP="007905D5">
                  <w:pPr>
                    <w:rPr>
                      <w:rFonts w:ascii="Arial" w:hAnsi="Arial" w:cs="Arial"/>
                    </w:rPr>
                  </w:pPr>
                  <w:r>
                    <w:rPr>
                      <w:rFonts w:ascii="Arial" w:hAnsi="Arial" w:cs="Arial"/>
                    </w:rPr>
                    <w:t>Reflective Blog</w:t>
                  </w:r>
                </w:p>
              </w:tc>
              <w:tc>
                <w:tcPr>
                  <w:tcW w:w="0" w:type="auto"/>
                </w:tcPr>
                <w:p w14:paraId="3B93B4C2" w14:textId="6DA394FA" w:rsidR="00030D4F" w:rsidRDefault="007257A6" w:rsidP="007905D5">
                  <w:pPr>
                    <w:rPr>
                      <w:rFonts w:ascii="Arial" w:hAnsi="Arial" w:cs="Arial"/>
                    </w:rPr>
                  </w:pPr>
                  <w:r>
                    <w:rPr>
                      <w:rFonts w:ascii="Arial" w:hAnsi="Arial" w:cs="Arial"/>
                    </w:rPr>
                    <w:t>Formative only</w:t>
                  </w:r>
                </w:p>
              </w:tc>
              <w:tc>
                <w:tcPr>
                  <w:tcW w:w="0" w:type="auto"/>
                </w:tcPr>
                <w:p w14:paraId="51718283" w14:textId="1F5C7916" w:rsidR="00030D4F" w:rsidRDefault="007257A6" w:rsidP="007905D5">
                  <w:pPr>
                    <w:rPr>
                      <w:rFonts w:ascii="Arial" w:hAnsi="Arial" w:cs="Arial"/>
                    </w:rPr>
                  </w:pPr>
                  <w:r>
                    <w:rPr>
                      <w:rFonts w:ascii="Arial" w:hAnsi="Arial" w:cs="Arial"/>
                    </w:rPr>
                    <w:t>5, 10, 11, 12</w:t>
                  </w:r>
                </w:p>
              </w:tc>
              <w:tc>
                <w:tcPr>
                  <w:tcW w:w="0" w:type="auto"/>
                </w:tcPr>
                <w:p w14:paraId="72629012" w14:textId="6384817D" w:rsidR="00030D4F" w:rsidRDefault="007257A6" w:rsidP="007905D5">
                  <w:pPr>
                    <w:rPr>
                      <w:rFonts w:ascii="Arial" w:hAnsi="Arial" w:cs="Arial"/>
                      <w:lang w:eastAsia="en-GB"/>
                    </w:rPr>
                  </w:pPr>
                  <w:r>
                    <w:rPr>
                      <w:rFonts w:ascii="Arial" w:hAnsi="Arial" w:cs="Arial"/>
                      <w:lang w:eastAsia="en-GB"/>
                    </w:rPr>
                    <w:t>Weeks 1, 2</w:t>
                  </w:r>
                  <w:r w:rsidR="002E2B3E">
                    <w:rPr>
                      <w:rFonts w:ascii="Arial" w:hAnsi="Arial" w:cs="Arial"/>
                      <w:lang w:eastAsia="en-GB"/>
                    </w:rPr>
                    <w:t xml:space="preserve">, 4, 6, 8, </w:t>
                  </w:r>
                </w:p>
              </w:tc>
              <w:tc>
                <w:tcPr>
                  <w:tcW w:w="0" w:type="auto"/>
                </w:tcPr>
                <w:p w14:paraId="0AA8AF4A" w14:textId="0E655EFB" w:rsidR="00030D4F" w:rsidRDefault="002E2B3E" w:rsidP="007905D5">
                  <w:pPr>
                    <w:rPr>
                      <w:rFonts w:ascii="Arial" w:hAnsi="Arial" w:cs="Arial"/>
                    </w:rPr>
                  </w:pPr>
                  <w:r>
                    <w:rPr>
                      <w:rFonts w:ascii="Arial" w:hAnsi="Arial" w:cs="Arial"/>
                    </w:rPr>
                    <w:t>Individual</w:t>
                  </w:r>
                </w:p>
              </w:tc>
            </w:tr>
            <w:tr w:rsidR="002E2B3E" w14:paraId="74AB93C6" w14:textId="77777777" w:rsidTr="00030D4F">
              <w:trPr>
                <w:trHeight w:val="539"/>
              </w:trPr>
              <w:tc>
                <w:tcPr>
                  <w:tcW w:w="0" w:type="auto"/>
                </w:tcPr>
                <w:p w14:paraId="5AE42824" w14:textId="396167C9" w:rsidR="00030D4F" w:rsidRPr="002E2B3E" w:rsidRDefault="007257A6" w:rsidP="002E2B3E">
                  <w:pPr>
                    <w:pStyle w:val="ListParagraph"/>
                    <w:numPr>
                      <w:ilvl w:val="0"/>
                      <w:numId w:val="6"/>
                    </w:numPr>
                    <w:rPr>
                      <w:rFonts w:ascii="Arial" w:hAnsi="Arial" w:cs="Arial"/>
                      <w:lang w:eastAsia="en-GB"/>
                    </w:rPr>
                  </w:pPr>
                  <w:r w:rsidRPr="002E2B3E">
                    <w:rPr>
                      <w:rFonts w:ascii="Arial" w:hAnsi="Arial" w:cs="Arial"/>
                      <w:lang w:eastAsia="en-GB"/>
                    </w:rPr>
                    <w:t>Group wiki x 4</w:t>
                  </w:r>
                </w:p>
                <w:p w14:paraId="7C6F061E" w14:textId="603F40B2" w:rsidR="007257A6" w:rsidRPr="002E2B3E" w:rsidRDefault="007257A6" w:rsidP="002E2B3E">
                  <w:pPr>
                    <w:pStyle w:val="ListParagraph"/>
                    <w:numPr>
                      <w:ilvl w:val="0"/>
                      <w:numId w:val="6"/>
                    </w:numPr>
                    <w:rPr>
                      <w:rFonts w:ascii="Arial" w:hAnsi="Arial" w:cs="Arial"/>
                      <w:lang w:eastAsia="en-GB"/>
                    </w:rPr>
                  </w:pPr>
                  <w:r w:rsidRPr="002E2B3E">
                    <w:rPr>
                      <w:rFonts w:ascii="Arial" w:hAnsi="Arial" w:cs="Arial"/>
                      <w:lang w:eastAsia="en-GB"/>
                    </w:rPr>
                    <w:t>Group minutes</w:t>
                  </w:r>
                </w:p>
              </w:tc>
              <w:tc>
                <w:tcPr>
                  <w:tcW w:w="0" w:type="auto"/>
                </w:tcPr>
                <w:p w14:paraId="4A4AB33F" w14:textId="7F58268C" w:rsidR="00030D4F" w:rsidRDefault="007257A6" w:rsidP="00F77C28">
                  <w:pPr>
                    <w:rPr>
                      <w:rFonts w:ascii="Arial" w:hAnsi="Arial" w:cs="Arial"/>
                    </w:rPr>
                  </w:pPr>
                  <w:r>
                    <w:rPr>
                      <w:rFonts w:ascii="Arial" w:hAnsi="Arial" w:cs="Arial"/>
                    </w:rPr>
                    <w:t>Formative only</w:t>
                  </w:r>
                </w:p>
              </w:tc>
              <w:tc>
                <w:tcPr>
                  <w:tcW w:w="0" w:type="auto"/>
                </w:tcPr>
                <w:p w14:paraId="47397331" w14:textId="1701C23F" w:rsidR="00030D4F" w:rsidRDefault="007257A6" w:rsidP="00F77C28">
                  <w:pPr>
                    <w:rPr>
                      <w:rFonts w:ascii="Arial" w:hAnsi="Arial" w:cs="Arial"/>
                    </w:rPr>
                  </w:pPr>
                  <w:r>
                    <w:rPr>
                      <w:rFonts w:ascii="Arial" w:hAnsi="Arial" w:cs="Arial"/>
                    </w:rPr>
                    <w:t>1, 2, 6, 7, 8, 9, 10, 13</w:t>
                  </w:r>
                </w:p>
              </w:tc>
              <w:tc>
                <w:tcPr>
                  <w:tcW w:w="0" w:type="auto"/>
                </w:tcPr>
                <w:p w14:paraId="6F4C2053" w14:textId="77777777" w:rsidR="00030D4F" w:rsidRDefault="002E2B3E" w:rsidP="002E2B3E">
                  <w:pPr>
                    <w:pStyle w:val="ListParagraph"/>
                    <w:numPr>
                      <w:ilvl w:val="0"/>
                      <w:numId w:val="7"/>
                    </w:numPr>
                    <w:rPr>
                      <w:rFonts w:ascii="Arial" w:hAnsi="Arial" w:cs="Arial"/>
                      <w:lang w:eastAsia="en-GB"/>
                    </w:rPr>
                  </w:pPr>
                  <w:r>
                    <w:rPr>
                      <w:rFonts w:ascii="Arial" w:hAnsi="Arial" w:cs="Arial"/>
                      <w:lang w:eastAsia="en-GB"/>
                    </w:rPr>
                    <w:t>Weeks 3</w:t>
                  </w:r>
                  <w:r w:rsidRPr="002E2B3E">
                    <w:rPr>
                      <w:rFonts w:ascii="Arial" w:hAnsi="Arial" w:cs="Arial"/>
                      <w:lang w:eastAsia="en-GB"/>
                    </w:rPr>
                    <w:t xml:space="preserve">, </w:t>
                  </w:r>
                  <w:r>
                    <w:rPr>
                      <w:rFonts w:ascii="Arial" w:hAnsi="Arial" w:cs="Arial"/>
                      <w:lang w:eastAsia="en-GB"/>
                    </w:rPr>
                    <w:t>5, 7, 9</w:t>
                  </w:r>
                </w:p>
                <w:p w14:paraId="4410D1FB" w14:textId="5B6FBEDD" w:rsidR="002E2B3E" w:rsidRPr="002E2B3E" w:rsidRDefault="002E2B3E" w:rsidP="00FF44B2">
                  <w:pPr>
                    <w:pStyle w:val="ListParagraph"/>
                    <w:numPr>
                      <w:ilvl w:val="0"/>
                      <w:numId w:val="7"/>
                    </w:numPr>
                    <w:rPr>
                      <w:rFonts w:ascii="Arial" w:hAnsi="Arial" w:cs="Arial"/>
                      <w:lang w:eastAsia="en-GB"/>
                    </w:rPr>
                  </w:pPr>
                  <w:r>
                    <w:rPr>
                      <w:rFonts w:ascii="Arial" w:hAnsi="Arial" w:cs="Arial"/>
                      <w:lang w:eastAsia="en-GB"/>
                    </w:rPr>
                    <w:t xml:space="preserve">Weeks </w:t>
                  </w:r>
                  <w:r w:rsidR="00FF44B2">
                    <w:rPr>
                      <w:rFonts w:ascii="Arial" w:hAnsi="Arial" w:cs="Arial"/>
                      <w:lang w:eastAsia="en-GB"/>
                    </w:rPr>
                    <w:t>1</w:t>
                  </w:r>
                  <w:r>
                    <w:rPr>
                      <w:rFonts w:ascii="Arial" w:hAnsi="Arial" w:cs="Arial"/>
                      <w:lang w:eastAsia="en-GB"/>
                    </w:rPr>
                    <w:t>, 3, 5, 7, 9, 10, 11, 12</w:t>
                  </w:r>
                </w:p>
              </w:tc>
              <w:tc>
                <w:tcPr>
                  <w:tcW w:w="0" w:type="auto"/>
                </w:tcPr>
                <w:p w14:paraId="020507A1" w14:textId="3FB39507" w:rsidR="00030D4F" w:rsidRDefault="002E2B3E" w:rsidP="00F77C28">
                  <w:pPr>
                    <w:rPr>
                      <w:rFonts w:ascii="Arial" w:hAnsi="Arial" w:cs="Arial"/>
                    </w:rPr>
                  </w:pPr>
                  <w:r>
                    <w:rPr>
                      <w:rFonts w:ascii="Arial" w:hAnsi="Arial" w:cs="Arial"/>
                    </w:rPr>
                    <w:t>General</w:t>
                  </w:r>
                </w:p>
              </w:tc>
            </w:tr>
            <w:tr w:rsidR="002E2B3E" w14:paraId="253F2B51" w14:textId="77777777" w:rsidTr="00030D4F">
              <w:trPr>
                <w:trHeight w:val="539"/>
              </w:trPr>
              <w:tc>
                <w:tcPr>
                  <w:tcW w:w="0" w:type="auto"/>
                </w:tcPr>
                <w:p w14:paraId="6EC2E038" w14:textId="321AD5F4" w:rsidR="007257A6" w:rsidRDefault="007257A6" w:rsidP="00F77C28">
                  <w:pPr>
                    <w:rPr>
                      <w:rFonts w:ascii="Arial" w:hAnsi="Arial" w:cs="Arial"/>
                      <w:lang w:eastAsia="en-GB"/>
                    </w:rPr>
                  </w:pPr>
                  <w:r>
                    <w:rPr>
                      <w:rFonts w:ascii="Arial" w:hAnsi="Arial" w:cs="Arial"/>
                      <w:lang w:eastAsia="en-GB"/>
                    </w:rPr>
                    <w:t>Group produced educational resource, i.e. audio-visual presentation/video/booklet/webpage/etc.</w:t>
                  </w:r>
                </w:p>
              </w:tc>
              <w:tc>
                <w:tcPr>
                  <w:tcW w:w="0" w:type="auto"/>
                </w:tcPr>
                <w:p w14:paraId="4520C72B" w14:textId="08294FA8" w:rsidR="007257A6" w:rsidRDefault="007257A6" w:rsidP="00F77C28">
                  <w:pPr>
                    <w:rPr>
                      <w:rFonts w:ascii="Arial" w:hAnsi="Arial" w:cs="Arial"/>
                    </w:rPr>
                  </w:pPr>
                  <w:r>
                    <w:rPr>
                      <w:rFonts w:ascii="Arial" w:hAnsi="Arial" w:cs="Arial"/>
                    </w:rPr>
                    <w:t>Summative, 100%</w:t>
                  </w:r>
                </w:p>
              </w:tc>
              <w:tc>
                <w:tcPr>
                  <w:tcW w:w="0" w:type="auto"/>
                </w:tcPr>
                <w:p w14:paraId="15859C28" w14:textId="33EBDCF0" w:rsidR="007257A6" w:rsidRDefault="007257A6" w:rsidP="00F77C28">
                  <w:pPr>
                    <w:rPr>
                      <w:rFonts w:ascii="Arial" w:hAnsi="Arial" w:cs="Arial"/>
                    </w:rPr>
                  </w:pPr>
                  <w:r>
                    <w:rPr>
                      <w:rFonts w:ascii="Arial" w:hAnsi="Arial" w:cs="Arial"/>
                    </w:rPr>
                    <w:t>1, 2, 3, 4, 7, 8, 9, 10, 11, 12, 13</w:t>
                  </w:r>
                </w:p>
              </w:tc>
              <w:tc>
                <w:tcPr>
                  <w:tcW w:w="0" w:type="auto"/>
                </w:tcPr>
                <w:p w14:paraId="41C474B6" w14:textId="77777777" w:rsidR="007257A6" w:rsidRDefault="007257A6" w:rsidP="00F77C28">
                  <w:pPr>
                    <w:rPr>
                      <w:rFonts w:ascii="Arial" w:hAnsi="Arial" w:cs="Arial"/>
                      <w:lang w:eastAsia="en-GB"/>
                    </w:rPr>
                  </w:pPr>
                </w:p>
              </w:tc>
              <w:tc>
                <w:tcPr>
                  <w:tcW w:w="0" w:type="auto"/>
                </w:tcPr>
                <w:p w14:paraId="28BE3D37" w14:textId="500E8C85" w:rsidR="007257A6" w:rsidRDefault="002E2B3E" w:rsidP="00F77C28">
                  <w:pPr>
                    <w:rPr>
                      <w:rFonts w:ascii="Arial" w:hAnsi="Arial" w:cs="Arial"/>
                    </w:rPr>
                  </w:pPr>
                  <w:r>
                    <w:rPr>
                      <w:rFonts w:ascii="Arial" w:hAnsi="Arial" w:cs="Arial"/>
                    </w:rPr>
                    <w:t>General</w:t>
                  </w:r>
                </w:p>
              </w:tc>
            </w:tr>
          </w:tbl>
          <w:p w14:paraId="180FE5CB" w14:textId="77777777" w:rsidR="00E91FE7" w:rsidRDefault="00E91FE7" w:rsidP="005E1B5E">
            <w:pPr>
              <w:rPr>
                <w:rFonts w:ascii="Arial" w:hAnsi="Arial" w:cs="Arial"/>
              </w:rPr>
            </w:pPr>
          </w:p>
          <w:p w14:paraId="36E4BD37" w14:textId="77777777" w:rsidR="004111B0" w:rsidRDefault="00B83C93" w:rsidP="004111B0">
            <w:pPr>
              <w:rPr>
                <w:rFonts w:ascii="Arial" w:hAnsi="Arial" w:cs="Arial"/>
                <w:b/>
              </w:rPr>
            </w:pPr>
            <w:r>
              <w:rPr>
                <w:rFonts w:ascii="Arial" w:hAnsi="Arial" w:cs="Arial"/>
                <w:b/>
              </w:rPr>
              <w:t>Assessment resit information</w:t>
            </w:r>
          </w:p>
          <w:p w14:paraId="48B7C408" w14:textId="65ACF29F" w:rsidR="004111B0" w:rsidRPr="004111B0" w:rsidRDefault="004111B0" w:rsidP="004111B0">
            <w:pPr>
              <w:rPr>
                <w:rFonts w:ascii="Arial" w:hAnsi="Arial" w:cs="Arial"/>
                <w:b/>
              </w:rPr>
            </w:pPr>
            <w:r w:rsidRPr="004111B0">
              <w:rPr>
                <w:rFonts w:ascii="Arial" w:hAnsi="Arial" w:cs="Arial"/>
                <w:color w:val="000000" w:themeColor="text1"/>
                <w:lang w:bidi="he-IL"/>
              </w:rPr>
              <w:t>Students' engagement throughout the class will be monitored in order to identify any students requiring support. In the event that students' engagement in the collaborative project work is disrupted due to exceptional circumstances, students will be offered a resit assignment in the form of a case study.</w:t>
            </w:r>
          </w:p>
          <w:p w14:paraId="3CD1D0BF" w14:textId="50CD104F" w:rsidR="00B83C93" w:rsidRDefault="00B83C93" w:rsidP="005E1B5E">
            <w:pPr>
              <w:rPr>
                <w:rFonts w:ascii="Arial" w:hAnsi="Arial" w:cs="Arial"/>
                <w:b/>
              </w:rPr>
            </w:pPr>
          </w:p>
          <w:p w14:paraId="097099B3" w14:textId="5DF5E151" w:rsidR="00E91FE7" w:rsidRDefault="00E91FE7" w:rsidP="005E1B5E">
            <w:pPr>
              <w:rPr>
                <w:rFonts w:ascii="Arial" w:hAnsi="Arial" w:cs="Arial"/>
                <w:b/>
              </w:rPr>
            </w:pPr>
            <w:r>
              <w:rPr>
                <w:rFonts w:ascii="Arial" w:hAnsi="Arial" w:cs="Arial"/>
                <w:b/>
              </w:rPr>
              <w:t>Other sources of feedback</w:t>
            </w:r>
          </w:p>
          <w:p w14:paraId="10ECF499" w14:textId="7F272BF5" w:rsidR="00E91FE7" w:rsidRPr="001F07C9" w:rsidRDefault="00E91FE7" w:rsidP="001F07C9">
            <w:pPr>
              <w:jc w:val="both"/>
              <w:rPr>
                <w:rFonts w:ascii="Arial" w:hAnsi="Arial" w:cs="Arial"/>
              </w:rPr>
            </w:pPr>
            <w:r>
              <w:rPr>
                <w:rFonts w:ascii="Arial" w:hAnsi="Arial" w:cs="Arial"/>
              </w:rPr>
              <w:t>In addition to the forms described above, feedback, comes in many forms and at various other points: when a discussion post is responded to, this is feedback; when you email a member of staff and they reply, this is feedback; a response to a question before, after, or during a lecture, is feedback! If however, any feedback is unclear, given the opportunity staff will be happy to clarify it</w:t>
            </w:r>
            <w:r w:rsidR="001F07C9">
              <w:rPr>
                <w:rFonts w:ascii="Arial" w:hAnsi="Arial" w:cs="Arial"/>
              </w:rPr>
              <w:t>.</w:t>
            </w:r>
          </w:p>
        </w:tc>
      </w:tr>
    </w:tbl>
    <w:p w14:paraId="316B88A3" w14:textId="77777777" w:rsidR="00724AA1" w:rsidRDefault="00724AA1">
      <w:pPr>
        <w:rPr>
          <w:rFonts w:ascii="Arial" w:hAnsi="Arial" w:cs="Arial"/>
          <w:b/>
        </w:rPr>
      </w:pPr>
    </w:p>
    <w:p w14:paraId="017B8019" w14:textId="6ECF8B1C" w:rsidR="00DC6607" w:rsidRDefault="00DC6607">
      <w:pPr>
        <w:rPr>
          <w:rFonts w:ascii="Arial" w:hAnsi="Arial" w:cs="Arial"/>
          <w:b/>
        </w:rPr>
      </w:pPr>
    </w:p>
    <w:p w14:paraId="6EE64608" w14:textId="14CBCBF6" w:rsidR="00932D80" w:rsidRPr="00CF5370" w:rsidRDefault="00CF5370">
      <w:pPr>
        <w:rPr>
          <w:rFonts w:ascii="Arial" w:hAnsi="Arial" w:cs="Arial"/>
          <w:b/>
        </w:rPr>
      </w:pPr>
      <w:r w:rsidRPr="00CF5370">
        <w:rPr>
          <w:rFonts w:ascii="Arial" w:hAnsi="Arial" w:cs="Arial"/>
          <w:b/>
        </w:rPr>
        <w:t>Recommended Reading:</w:t>
      </w:r>
    </w:p>
    <w:tbl>
      <w:tblPr>
        <w:tblW w:w="0" w:type="auto"/>
        <w:tblBorders>
          <w:top w:val="single" w:sz="2" w:space="0" w:color="auto"/>
          <w:left w:val="single" w:sz="2" w:space="0" w:color="auto"/>
          <w:bottom w:val="single" w:sz="2" w:space="0" w:color="auto"/>
          <w:right w:val="single" w:sz="2" w:space="0" w:color="auto"/>
        </w:tblBorders>
        <w:tblLayout w:type="fixed"/>
        <w:tblCellMar>
          <w:left w:w="144" w:type="dxa"/>
          <w:right w:w="144" w:type="dxa"/>
        </w:tblCellMar>
        <w:tblLook w:val="0000" w:firstRow="0" w:lastRow="0" w:firstColumn="0" w:lastColumn="0" w:noHBand="0" w:noVBand="0"/>
      </w:tblPr>
      <w:tblGrid>
        <w:gridCol w:w="10329"/>
      </w:tblGrid>
      <w:tr w:rsidR="00EE4B28" w:rsidRPr="006550AA" w14:paraId="08B64E8C" w14:textId="77777777" w:rsidTr="00CF5370">
        <w:trPr>
          <w:trHeight w:val="1264"/>
        </w:trPr>
        <w:tc>
          <w:tcPr>
            <w:tcW w:w="10329" w:type="dxa"/>
            <w:tcBorders>
              <w:top w:val="single" w:sz="2" w:space="0" w:color="auto"/>
              <w:bottom w:val="single" w:sz="2" w:space="0" w:color="auto"/>
            </w:tcBorders>
          </w:tcPr>
          <w:p w14:paraId="63D3B97C" w14:textId="06380CD5" w:rsidR="00995E09" w:rsidRDefault="00995E09" w:rsidP="00995E09">
            <w:pPr>
              <w:rPr>
                <w:rFonts w:ascii="Arial" w:hAnsi="Arial" w:cs="Arial"/>
              </w:rPr>
            </w:pPr>
          </w:p>
          <w:p w14:paraId="3922D79C" w14:textId="699719C1" w:rsidR="00EE4B28" w:rsidRPr="00563243" w:rsidRDefault="009C36EE" w:rsidP="00995E09">
            <w:pPr>
              <w:rPr>
                <w:rFonts w:ascii="Arial" w:hAnsi="Arial" w:cs="Arial"/>
              </w:rPr>
            </w:pPr>
            <w:r>
              <w:rPr>
                <w:rFonts w:ascii="Arial" w:hAnsi="Arial" w:cs="Arial"/>
              </w:rPr>
              <w:t>Articles/Chapters linked on Myplace</w:t>
            </w:r>
            <w:r w:rsidR="00A77195">
              <w:rPr>
                <w:rFonts w:ascii="Arial" w:hAnsi="Arial" w:cs="Arial"/>
              </w:rPr>
              <w:t>.</w:t>
            </w:r>
          </w:p>
        </w:tc>
      </w:tr>
    </w:tbl>
    <w:p w14:paraId="137D852E" w14:textId="77777777" w:rsidR="00CB20FC" w:rsidRDefault="00CB20FC">
      <w:pPr>
        <w:rPr>
          <w:rFonts w:ascii="Arial" w:hAnsi="Arial" w:cs="Arial"/>
        </w:rPr>
      </w:pPr>
    </w:p>
    <w:p w14:paraId="05E347AE" w14:textId="7519770F" w:rsidR="00CB20FC" w:rsidRPr="00CF5370" w:rsidRDefault="00CB20FC" w:rsidP="00CB20FC">
      <w:pPr>
        <w:rPr>
          <w:rFonts w:ascii="Arial" w:hAnsi="Arial" w:cs="Arial"/>
          <w:b/>
        </w:rPr>
      </w:pPr>
      <w:r>
        <w:rPr>
          <w:rFonts w:ascii="Arial" w:hAnsi="Arial" w:cs="Arial"/>
          <w:b/>
        </w:rPr>
        <w:t>Electronic Resources (if applicable)</w:t>
      </w:r>
      <w:r w:rsidRPr="00CF5370">
        <w:rPr>
          <w:rFonts w:ascii="Arial" w:hAnsi="Arial" w:cs="Arial"/>
          <w:b/>
        </w:rPr>
        <w:t>:</w:t>
      </w:r>
    </w:p>
    <w:tbl>
      <w:tblPr>
        <w:tblW w:w="0" w:type="auto"/>
        <w:tblBorders>
          <w:top w:val="single" w:sz="2" w:space="0" w:color="auto"/>
          <w:left w:val="single" w:sz="2" w:space="0" w:color="auto"/>
          <w:bottom w:val="single" w:sz="2" w:space="0" w:color="auto"/>
          <w:right w:val="single" w:sz="2" w:space="0" w:color="auto"/>
        </w:tblBorders>
        <w:tblLayout w:type="fixed"/>
        <w:tblCellMar>
          <w:left w:w="144" w:type="dxa"/>
          <w:right w:w="144" w:type="dxa"/>
        </w:tblCellMar>
        <w:tblLook w:val="0000" w:firstRow="0" w:lastRow="0" w:firstColumn="0" w:lastColumn="0" w:noHBand="0" w:noVBand="0"/>
      </w:tblPr>
      <w:tblGrid>
        <w:gridCol w:w="10329"/>
      </w:tblGrid>
      <w:tr w:rsidR="00CB20FC" w:rsidRPr="006550AA" w14:paraId="6CF69705" w14:textId="77777777" w:rsidTr="005E4A01">
        <w:trPr>
          <w:trHeight w:val="1264"/>
        </w:trPr>
        <w:tc>
          <w:tcPr>
            <w:tcW w:w="10329" w:type="dxa"/>
            <w:tcBorders>
              <w:top w:val="single" w:sz="2" w:space="0" w:color="auto"/>
              <w:bottom w:val="single" w:sz="2" w:space="0" w:color="auto"/>
            </w:tcBorders>
          </w:tcPr>
          <w:p w14:paraId="7C7B5AD3" w14:textId="77777777" w:rsidR="00CB20FC" w:rsidRDefault="00CB20FC" w:rsidP="00CB20FC">
            <w:pPr>
              <w:rPr>
                <w:rFonts w:ascii="Arial" w:hAnsi="Arial" w:cs="Arial"/>
              </w:rPr>
            </w:pPr>
          </w:p>
          <w:p w14:paraId="677775FF" w14:textId="25363F5C" w:rsidR="00995E09" w:rsidRDefault="00995E09" w:rsidP="00CB20FC">
            <w:pPr>
              <w:rPr>
                <w:rFonts w:ascii="Arial" w:hAnsi="Arial" w:cs="Arial"/>
              </w:rPr>
            </w:pPr>
            <w:r>
              <w:rPr>
                <w:rFonts w:ascii="Arial" w:hAnsi="Arial" w:cs="Arial"/>
              </w:rPr>
              <w:t>All relevant electronic resources</w:t>
            </w:r>
            <w:r w:rsidR="00DA583F">
              <w:rPr>
                <w:rFonts w:ascii="Arial" w:hAnsi="Arial" w:cs="Arial"/>
              </w:rPr>
              <w:t>, including other identified recommended reading,</w:t>
            </w:r>
            <w:r>
              <w:rPr>
                <w:rFonts w:ascii="Arial" w:hAnsi="Arial" w:cs="Arial"/>
              </w:rPr>
              <w:t xml:space="preserve"> will be posted on the </w:t>
            </w:r>
            <w:r w:rsidR="00030D4F">
              <w:rPr>
                <w:rFonts w:ascii="Arial" w:hAnsi="Arial" w:cs="Arial"/>
              </w:rPr>
              <w:t>class</w:t>
            </w:r>
            <w:r>
              <w:rPr>
                <w:rFonts w:ascii="Arial" w:hAnsi="Arial" w:cs="Arial"/>
              </w:rPr>
              <w:t xml:space="preserve"> MyPlace Page.</w:t>
            </w:r>
          </w:p>
          <w:p w14:paraId="01075A4B" w14:textId="28F4F72B" w:rsidR="00995E09" w:rsidRPr="00995E09" w:rsidRDefault="00995E09" w:rsidP="00995E09">
            <w:pPr>
              <w:tabs>
                <w:tab w:val="left" w:pos="1065"/>
              </w:tabs>
              <w:rPr>
                <w:rFonts w:ascii="Arial" w:hAnsi="Arial" w:cs="Arial"/>
              </w:rPr>
            </w:pPr>
          </w:p>
        </w:tc>
      </w:tr>
    </w:tbl>
    <w:p w14:paraId="3BAD262D" w14:textId="77777777" w:rsidR="00932D80" w:rsidRDefault="00932D80">
      <w:pPr>
        <w:rPr>
          <w:rFonts w:ascii="Arial" w:hAnsi="Arial" w:cs="Arial"/>
        </w:rPr>
      </w:pPr>
    </w:p>
    <w:p w14:paraId="724FC504" w14:textId="77777777" w:rsidR="00CB20FC" w:rsidRPr="006550AA" w:rsidRDefault="00CB20FC">
      <w:pPr>
        <w:rPr>
          <w:rFonts w:ascii="Arial" w:hAnsi="Arial" w:cs="Arial"/>
        </w:rPr>
      </w:pPr>
    </w:p>
    <w:sectPr w:rsidR="00CB20FC" w:rsidRPr="006550AA" w:rsidSect="00CF5370">
      <w:footerReference w:type="default" r:id="rId11"/>
      <w:pgSz w:w="11909" w:h="16834" w:code="9"/>
      <w:pgMar w:top="576" w:right="648" w:bottom="864" w:left="1152"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67A47" w14:textId="77777777" w:rsidR="0090172F" w:rsidRDefault="0090172F" w:rsidP="00C30D96">
      <w:r>
        <w:separator/>
      </w:r>
    </w:p>
  </w:endnote>
  <w:endnote w:type="continuationSeparator" w:id="0">
    <w:p w14:paraId="68B517AE" w14:textId="77777777" w:rsidR="0090172F" w:rsidRDefault="0090172F" w:rsidP="00C3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240472"/>
      <w:docPartObj>
        <w:docPartGallery w:val="Page Numbers (Bottom of Page)"/>
        <w:docPartUnique/>
      </w:docPartObj>
    </w:sdtPr>
    <w:sdtEndPr>
      <w:rPr>
        <w:noProof/>
      </w:rPr>
    </w:sdtEndPr>
    <w:sdtContent>
      <w:p w14:paraId="682F0E04" w14:textId="478ACFD9" w:rsidR="00EB76FA" w:rsidRDefault="00EB76FA">
        <w:pPr>
          <w:pStyle w:val="Footer"/>
          <w:jc w:val="right"/>
        </w:pPr>
        <w:r w:rsidRPr="00EB76FA">
          <w:rPr>
            <w:rFonts w:ascii="Arial" w:hAnsi="Arial" w:cs="Arial"/>
          </w:rPr>
          <w:fldChar w:fldCharType="begin"/>
        </w:r>
        <w:r w:rsidRPr="00EB76FA">
          <w:rPr>
            <w:rFonts w:ascii="Arial" w:hAnsi="Arial" w:cs="Arial"/>
          </w:rPr>
          <w:instrText xml:space="preserve"> PAGE   \* MERGEFORMAT </w:instrText>
        </w:r>
        <w:r w:rsidRPr="00EB76FA">
          <w:rPr>
            <w:rFonts w:ascii="Arial" w:hAnsi="Arial" w:cs="Arial"/>
          </w:rPr>
          <w:fldChar w:fldCharType="separate"/>
        </w:r>
        <w:r w:rsidR="0090172F">
          <w:rPr>
            <w:rFonts w:ascii="Arial" w:hAnsi="Arial" w:cs="Arial"/>
            <w:noProof/>
          </w:rPr>
          <w:t>1</w:t>
        </w:r>
        <w:r w:rsidRPr="00EB76FA">
          <w:rPr>
            <w:rFonts w:ascii="Arial" w:hAnsi="Arial" w:cs="Arial"/>
            <w:noProof/>
          </w:rPr>
          <w:fldChar w:fldCharType="end"/>
        </w:r>
      </w:p>
    </w:sdtContent>
  </w:sdt>
  <w:p w14:paraId="2B7B212C" w14:textId="77777777" w:rsidR="00EB76FA" w:rsidRDefault="00EB7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E4242" w14:textId="77777777" w:rsidR="0090172F" w:rsidRDefault="0090172F" w:rsidP="00C30D96">
      <w:r>
        <w:separator/>
      </w:r>
    </w:p>
  </w:footnote>
  <w:footnote w:type="continuationSeparator" w:id="0">
    <w:p w14:paraId="5F02DEDB" w14:textId="77777777" w:rsidR="0090172F" w:rsidRDefault="0090172F" w:rsidP="00C30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93A"/>
    <w:multiLevelType w:val="hybridMultilevel"/>
    <w:tmpl w:val="AFEA3402"/>
    <w:lvl w:ilvl="0" w:tplc="76E46CD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06A4C"/>
    <w:multiLevelType w:val="hybridMultilevel"/>
    <w:tmpl w:val="310AA120"/>
    <w:lvl w:ilvl="0" w:tplc="C6009824">
      <w:start w:val="1"/>
      <w:numFmt w:val="decimal"/>
      <w:lvlText w:val="%1."/>
      <w:lvlJc w:val="left"/>
      <w:pPr>
        <w:ind w:left="720" w:hanging="360"/>
      </w:pPr>
    </w:lvl>
    <w:lvl w:ilvl="1" w:tplc="460832BC">
      <w:start w:val="1"/>
      <w:numFmt w:val="lowerLetter"/>
      <w:lvlText w:val="%2."/>
      <w:lvlJc w:val="left"/>
      <w:pPr>
        <w:ind w:left="1440" w:hanging="360"/>
      </w:pPr>
    </w:lvl>
    <w:lvl w:ilvl="2" w:tplc="E7DA540A">
      <w:start w:val="1"/>
      <w:numFmt w:val="lowerRoman"/>
      <w:lvlText w:val="%3."/>
      <w:lvlJc w:val="right"/>
      <w:pPr>
        <w:ind w:left="2160" w:hanging="180"/>
      </w:pPr>
    </w:lvl>
    <w:lvl w:ilvl="3" w:tplc="9E14ECD4">
      <w:start w:val="1"/>
      <w:numFmt w:val="decimal"/>
      <w:lvlText w:val="%4."/>
      <w:lvlJc w:val="left"/>
      <w:pPr>
        <w:ind w:left="2880" w:hanging="360"/>
      </w:pPr>
    </w:lvl>
    <w:lvl w:ilvl="4" w:tplc="0B3C5100">
      <w:start w:val="1"/>
      <w:numFmt w:val="lowerLetter"/>
      <w:lvlText w:val="%5."/>
      <w:lvlJc w:val="left"/>
      <w:pPr>
        <w:ind w:left="3600" w:hanging="360"/>
      </w:pPr>
    </w:lvl>
    <w:lvl w:ilvl="5" w:tplc="E7B6B87E">
      <w:start w:val="1"/>
      <w:numFmt w:val="lowerRoman"/>
      <w:lvlText w:val="%6."/>
      <w:lvlJc w:val="right"/>
      <w:pPr>
        <w:ind w:left="4320" w:hanging="180"/>
      </w:pPr>
    </w:lvl>
    <w:lvl w:ilvl="6" w:tplc="3A309928">
      <w:start w:val="1"/>
      <w:numFmt w:val="decimal"/>
      <w:lvlText w:val="%7."/>
      <w:lvlJc w:val="left"/>
      <w:pPr>
        <w:ind w:left="5040" w:hanging="360"/>
      </w:pPr>
    </w:lvl>
    <w:lvl w:ilvl="7" w:tplc="01F43FF6">
      <w:start w:val="1"/>
      <w:numFmt w:val="lowerLetter"/>
      <w:lvlText w:val="%8."/>
      <w:lvlJc w:val="left"/>
      <w:pPr>
        <w:ind w:left="5760" w:hanging="360"/>
      </w:pPr>
    </w:lvl>
    <w:lvl w:ilvl="8" w:tplc="1EF60F18">
      <w:start w:val="1"/>
      <w:numFmt w:val="lowerRoman"/>
      <w:lvlText w:val="%9."/>
      <w:lvlJc w:val="right"/>
      <w:pPr>
        <w:ind w:left="6480" w:hanging="180"/>
      </w:pPr>
    </w:lvl>
  </w:abstractNum>
  <w:abstractNum w:abstractNumId="2" w15:restartNumberingAfterBreak="0">
    <w:nsid w:val="5D554DA5"/>
    <w:multiLevelType w:val="hybridMultilevel"/>
    <w:tmpl w:val="3C8415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D629A8"/>
    <w:multiLevelType w:val="hybridMultilevel"/>
    <w:tmpl w:val="B62E7A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163CBA"/>
    <w:multiLevelType w:val="hybridMultilevel"/>
    <w:tmpl w:val="DDA0F0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B04E3"/>
    <w:multiLevelType w:val="hybridMultilevel"/>
    <w:tmpl w:val="310AA120"/>
    <w:lvl w:ilvl="0" w:tplc="C6009824">
      <w:start w:val="1"/>
      <w:numFmt w:val="decimal"/>
      <w:lvlText w:val="%1."/>
      <w:lvlJc w:val="left"/>
      <w:pPr>
        <w:ind w:left="720" w:hanging="360"/>
      </w:pPr>
    </w:lvl>
    <w:lvl w:ilvl="1" w:tplc="460832BC">
      <w:start w:val="1"/>
      <w:numFmt w:val="lowerLetter"/>
      <w:lvlText w:val="%2."/>
      <w:lvlJc w:val="left"/>
      <w:pPr>
        <w:ind w:left="1440" w:hanging="360"/>
      </w:pPr>
    </w:lvl>
    <w:lvl w:ilvl="2" w:tplc="E7DA540A">
      <w:start w:val="1"/>
      <w:numFmt w:val="lowerRoman"/>
      <w:lvlText w:val="%3."/>
      <w:lvlJc w:val="right"/>
      <w:pPr>
        <w:ind w:left="2160" w:hanging="180"/>
      </w:pPr>
    </w:lvl>
    <w:lvl w:ilvl="3" w:tplc="9E14ECD4">
      <w:start w:val="1"/>
      <w:numFmt w:val="decimal"/>
      <w:lvlText w:val="%4."/>
      <w:lvlJc w:val="left"/>
      <w:pPr>
        <w:ind w:left="2880" w:hanging="360"/>
      </w:pPr>
    </w:lvl>
    <w:lvl w:ilvl="4" w:tplc="0B3C5100">
      <w:start w:val="1"/>
      <w:numFmt w:val="lowerLetter"/>
      <w:lvlText w:val="%5."/>
      <w:lvlJc w:val="left"/>
      <w:pPr>
        <w:ind w:left="3600" w:hanging="360"/>
      </w:pPr>
    </w:lvl>
    <w:lvl w:ilvl="5" w:tplc="E7B6B87E">
      <w:start w:val="1"/>
      <w:numFmt w:val="lowerRoman"/>
      <w:lvlText w:val="%6."/>
      <w:lvlJc w:val="right"/>
      <w:pPr>
        <w:ind w:left="4320" w:hanging="180"/>
      </w:pPr>
    </w:lvl>
    <w:lvl w:ilvl="6" w:tplc="3A309928">
      <w:start w:val="1"/>
      <w:numFmt w:val="decimal"/>
      <w:lvlText w:val="%7."/>
      <w:lvlJc w:val="left"/>
      <w:pPr>
        <w:ind w:left="5040" w:hanging="360"/>
      </w:pPr>
    </w:lvl>
    <w:lvl w:ilvl="7" w:tplc="01F43FF6">
      <w:start w:val="1"/>
      <w:numFmt w:val="lowerLetter"/>
      <w:lvlText w:val="%8."/>
      <w:lvlJc w:val="left"/>
      <w:pPr>
        <w:ind w:left="5760" w:hanging="360"/>
      </w:pPr>
    </w:lvl>
    <w:lvl w:ilvl="8" w:tplc="1EF60F18">
      <w:start w:val="1"/>
      <w:numFmt w:val="lowerRoman"/>
      <w:lvlText w:val="%9."/>
      <w:lvlJc w:val="right"/>
      <w:pPr>
        <w:ind w:left="6480" w:hanging="180"/>
      </w:pPr>
    </w:lvl>
  </w:abstractNum>
  <w:abstractNum w:abstractNumId="6" w15:restartNumberingAfterBreak="0">
    <w:nsid w:val="7D864717"/>
    <w:multiLevelType w:val="hybridMultilevel"/>
    <w:tmpl w:val="7548C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36"/>
    <w:rsid w:val="000011DE"/>
    <w:rsid w:val="00030D4F"/>
    <w:rsid w:val="000327BA"/>
    <w:rsid w:val="00043382"/>
    <w:rsid w:val="00050DA5"/>
    <w:rsid w:val="00074F92"/>
    <w:rsid w:val="000A106B"/>
    <w:rsid w:val="000C4961"/>
    <w:rsid w:val="000F09BE"/>
    <w:rsid w:val="000F1167"/>
    <w:rsid w:val="000F6B0B"/>
    <w:rsid w:val="00101C89"/>
    <w:rsid w:val="00117C43"/>
    <w:rsid w:val="00123CC1"/>
    <w:rsid w:val="00127261"/>
    <w:rsid w:val="00134852"/>
    <w:rsid w:val="00160A42"/>
    <w:rsid w:val="00167FDC"/>
    <w:rsid w:val="001964BD"/>
    <w:rsid w:val="001B0493"/>
    <w:rsid w:val="001C25E0"/>
    <w:rsid w:val="001D1FBD"/>
    <w:rsid w:val="001F07C9"/>
    <w:rsid w:val="001F65CC"/>
    <w:rsid w:val="001F72AD"/>
    <w:rsid w:val="00203B4A"/>
    <w:rsid w:val="0022640C"/>
    <w:rsid w:val="002365C3"/>
    <w:rsid w:val="00244CCD"/>
    <w:rsid w:val="00267150"/>
    <w:rsid w:val="00293589"/>
    <w:rsid w:val="002A0232"/>
    <w:rsid w:val="002B558D"/>
    <w:rsid w:val="002D1B5D"/>
    <w:rsid w:val="002E2B3E"/>
    <w:rsid w:val="002E4165"/>
    <w:rsid w:val="002F4AC8"/>
    <w:rsid w:val="0031258F"/>
    <w:rsid w:val="00317D54"/>
    <w:rsid w:val="003A3960"/>
    <w:rsid w:val="003B021A"/>
    <w:rsid w:val="003D77A8"/>
    <w:rsid w:val="003E1B7D"/>
    <w:rsid w:val="004111B0"/>
    <w:rsid w:val="00451DE6"/>
    <w:rsid w:val="004527DD"/>
    <w:rsid w:val="004D3E20"/>
    <w:rsid w:val="004E134F"/>
    <w:rsid w:val="0050133B"/>
    <w:rsid w:val="00515D77"/>
    <w:rsid w:val="00527F0E"/>
    <w:rsid w:val="005307CC"/>
    <w:rsid w:val="00556D66"/>
    <w:rsid w:val="00563243"/>
    <w:rsid w:val="00572451"/>
    <w:rsid w:val="00581300"/>
    <w:rsid w:val="0058288B"/>
    <w:rsid w:val="005A60DC"/>
    <w:rsid w:val="005C2786"/>
    <w:rsid w:val="005E1B5E"/>
    <w:rsid w:val="005F7FBD"/>
    <w:rsid w:val="006124FE"/>
    <w:rsid w:val="006405F4"/>
    <w:rsid w:val="006550AA"/>
    <w:rsid w:val="0067560A"/>
    <w:rsid w:val="006766E1"/>
    <w:rsid w:val="006858FE"/>
    <w:rsid w:val="006B7086"/>
    <w:rsid w:val="006C7BDB"/>
    <w:rsid w:val="006D1A6B"/>
    <w:rsid w:val="006F1346"/>
    <w:rsid w:val="00713BE3"/>
    <w:rsid w:val="00724AA1"/>
    <w:rsid w:val="007257A6"/>
    <w:rsid w:val="0072620F"/>
    <w:rsid w:val="007418C0"/>
    <w:rsid w:val="00773572"/>
    <w:rsid w:val="007833AF"/>
    <w:rsid w:val="007905D5"/>
    <w:rsid w:val="007B277A"/>
    <w:rsid w:val="007D1F8D"/>
    <w:rsid w:val="008029B0"/>
    <w:rsid w:val="0080413F"/>
    <w:rsid w:val="00811CCE"/>
    <w:rsid w:val="00820AE5"/>
    <w:rsid w:val="0082594B"/>
    <w:rsid w:val="00841674"/>
    <w:rsid w:val="0086759A"/>
    <w:rsid w:val="00897A1D"/>
    <w:rsid w:val="0090172F"/>
    <w:rsid w:val="00920D88"/>
    <w:rsid w:val="00932D80"/>
    <w:rsid w:val="00945A98"/>
    <w:rsid w:val="0094709E"/>
    <w:rsid w:val="00990C36"/>
    <w:rsid w:val="00995E09"/>
    <w:rsid w:val="00996D1F"/>
    <w:rsid w:val="009B6A87"/>
    <w:rsid w:val="009C36EE"/>
    <w:rsid w:val="009D1CE7"/>
    <w:rsid w:val="00A00307"/>
    <w:rsid w:val="00A207C0"/>
    <w:rsid w:val="00A25CAD"/>
    <w:rsid w:val="00A3095C"/>
    <w:rsid w:val="00A37F59"/>
    <w:rsid w:val="00A77195"/>
    <w:rsid w:val="00A86B2C"/>
    <w:rsid w:val="00AA600C"/>
    <w:rsid w:val="00AD1DFB"/>
    <w:rsid w:val="00AF039C"/>
    <w:rsid w:val="00B130B3"/>
    <w:rsid w:val="00B15766"/>
    <w:rsid w:val="00B322F0"/>
    <w:rsid w:val="00B3443D"/>
    <w:rsid w:val="00B809A4"/>
    <w:rsid w:val="00B83C93"/>
    <w:rsid w:val="00B94593"/>
    <w:rsid w:val="00B9666C"/>
    <w:rsid w:val="00BA2657"/>
    <w:rsid w:val="00BB3CB9"/>
    <w:rsid w:val="00BC37EC"/>
    <w:rsid w:val="00BD7F3A"/>
    <w:rsid w:val="00C05B7F"/>
    <w:rsid w:val="00C14801"/>
    <w:rsid w:val="00C30D96"/>
    <w:rsid w:val="00C333AF"/>
    <w:rsid w:val="00C40FFD"/>
    <w:rsid w:val="00C41FA6"/>
    <w:rsid w:val="00C43965"/>
    <w:rsid w:val="00C50804"/>
    <w:rsid w:val="00C52D64"/>
    <w:rsid w:val="00C54B20"/>
    <w:rsid w:val="00C61157"/>
    <w:rsid w:val="00C71CAA"/>
    <w:rsid w:val="00C8158E"/>
    <w:rsid w:val="00C967D4"/>
    <w:rsid w:val="00C97121"/>
    <w:rsid w:val="00CB20FC"/>
    <w:rsid w:val="00CF5370"/>
    <w:rsid w:val="00D17106"/>
    <w:rsid w:val="00D220D5"/>
    <w:rsid w:val="00D44D60"/>
    <w:rsid w:val="00D50586"/>
    <w:rsid w:val="00D71FB4"/>
    <w:rsid w:val="00D90970"/>
    <w:rsid w:val="00DA4441"/>
    <w:rsid w:val="00DA583F"/>
    <w:rsid w:val="00DC399B"/>
    <w:rsid w:val="00DC6607"/>
    <w:rsid w:val="00DD455E"/>
    <w:rsid w:val="00DD5496"/>
    <w:rsid w:val="00E03B4E"/>
    <w:rsid w:val="00E17895"/>
    <w:rsid w:val="00E91193"/>
    <w:rsid w:val="00E91FE7"/>
    <w:rsid w:val="00E975B6"/>
    <w:rsid w:val="00EB6425"/>
    <w:rsid w:val="00EB76FA"/>
    <w:rsid w:val="00EC1A35"/>
    <w:rsid w:val="00EE4B28"/>
    <w:rsid w:val="00EF24BF"/>
    <w:rsid w:val="00EF6AA6"/>
    <w:rsid w:val="00F22A88"/>
    <w:rsid w:val="00F4118B"/>
    <w:rsid w:val="00F61285"/>
    <w:rsid w:val="00F77C28"/>
    <w:rsid w:val="00F96886"/>
    <w:rsid w:val="00FA0CA4"/>
    <w:rsid w:val="00FB3976"/>
    <w:rsid w:val="00FB3CD6"/>
    <w:rsid w:val="00FC38F3"/>
    <w:rsid w:val="00FC7DFA"/>
    <w:rsid w:val="00FD7FAB"/>
    <w:rsid w:val="00FF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FB493"/>
  <w15:docId w15:val="{DC730068-A37E-400F-A6E0-F601DF2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2AD"/>
    <w:pPr>
      <w:overflowPunct w:val="0"/>
      <w:autoSpaceDE w:val="0"/>
      <w:autoSpaceDN w:val="0"/>
      <w:adjustRightInd w:val="0"/>
      <w:textAlignment w:val="baseline"/>
    </w:pPr>
    <w:rPr>
      <w:lang w:eastAsia="en-US"/>
    </w:rPr>
  </w:style>
  <w:style w:type="paragraph" w:styleId="Heading1">
    <w:name w:val="heading 1"/>
    <w:basedOn w:val="Normal"/>
    <w:next w:val="Normal"/>
    <w:qFormat/>
    <w:rsid w:val="001F72AD"/>
    <w:pPr>
      <w:keepNext/>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72AD"/>
    <w:pPr>
      <w:jc w:val="both"/>
    </w:pPr>
    <w:rPr>
      <w:i/>
    </w:rPr>
  </w:style>
  <w:style w:type="paragraph" w:styleId="BalloonText">
    <w:name w:val="Balloon Text"/>
    <w:basedOn w:val="Normal"/>
    <w:link w:val="BalloonTextChar"/>
    <w:rsid w:val="00C30D96"/>
    <w:rPr>
      <w:rFonts w:ascii="Tahoma" w:hAnsi="Tahoma" w:cs="Tahoma"/>
      <w:sz w:val="16"/>
      <w:szCs w:val="16"/>
    </w:rPr>
  </w:style>
  <w:style w:type="character" w:customStyle="1" w:styleId="BalloonTextChar">
    <w:name w:val="Balloon Text Char"/>
    <w:basedOn w:val="DefaultParagraphFont"/>
    <w:link w:val="BalloonText"/>
    <w:rsid w:val="00C30D96"/>
    <w:rPr>
      <w:rFonts w:ascii="Tahoma" w:hAnsi="Tahoma" w:cs="Tahoma"/>
      <w:sz w:val="16"/>
      <w:szCs w:val="16"/>
      <w:lang w:eastAsia="en-US"/>
    </w:rPr>
  </w:style>
  <w:style w:type="paragraph" w:styleId="Header">
    <w:name w:val="header"/>
    <w:basedOn w:val="Normal"/>
    <w:link w:val="HeaderChar"/>
    <w:rsid w:val="00C30D96"/>
    <w:pPr>
      <w:tabs>
        <w:tab w:val="center" w:pos="4513"/>
        <w:tab w:val="right" w:pos="9026"/>
      </w:tabs>
    </w:pPr>
  </w:style>
  <w:style w:type="character" w:customStyle="1" w:styleId="HeaderChar">
    <w:name w:val="Header Char"/>
    <w:basedOn w:val="DefaultParagraphFont"/>
    <w:link w:val="Header"/>
    <w:rsid w:val="00C30D96"/>
    <w:rPr>
      <w:lang w:eastAsia="en-US"/>
    </w:rPr>
  </w:style>
  <w:style w:type="paragraph" w:styleId="Footer">
    <w:name w:val="footer"/>
    <w:basedOn w:val="Normal"/>
    <w:link w:val="FooterChar"/>
    <w:uiPriority w:val="99"/>
    <w:rsid w:val="00C30D96"/>
    <w:pPr>
      <w:tabs>
        <w:tab w:val="center" w:pos="4513"/>
        <w:tab w:val="right" w:pos="9026"/>
      </w:tabs>
    </w:pPr>
  </w:style>
  <w:style w:type="character" w:customStyle="1" w:styleId="FooterChar">
    <w:name w:val="Footer Char"/>
    <w:basedOn w:val="DefaultParagraphFont"/>
    <w:link w:val="Footer"/>
    <w:uiPriority w:val="99"/>
    <w:rsid w:val="00C30D96"/>
    <w:rPr>
      <w:lang w:eastAsia="en-US"/>
    </w:rPr>
  </w:style>
  <w:style w:type="table" w:styleId="TableGrid">
    <w:name w:val="Table Grid"/>
    <w:basedOn w:val="TableNormal"/>
    <w:rsid w:val="00117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BB3CB9"/>
    <w:rPr>
      <w:rFonts w:asciiTheme="minorHAnsi" w:eastAsiaTheme="minorEastAsia" w:hAnsiTheme="minorHAnsi" w:cstheme="minorBidi"/>
      <w:sz w:val="22"/>
      <w:szCs w:val="22"/>
      <w:lang w:val="en-US"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DefaultParagraphFont"/>
    <w:rsid w:val="00D71FB4"/>
    <w:rPr>
      <w:color w:val="0000FF" w:themeColor="hyperlink"/>
      <w:u w:val="single"/>
    </w:rPr>
  </w:style>
  <w:style w:type="character" w:styleId="FollowedHyperlink">
    <w:name w:val="FollowedHyperlink"/>
    <w:basedOn w:val="DefaultParagraphFont"/>
    <w:rsid w:val="00050DA5"/>
    <w:rPr>
      <w:color w:val="800080" w:themeColor="followedHyperlink"/>
      <w:u w:val="single"/>
    </w:rPr>
  </w:style>
  <w:style w:type="character" w:customStyle="1" w:styleId="Body">
    <w:name w:val="Body"/>
    <w:basedOn w:val="DefaultParagraphFont"/>
    <w:rsid w:val="00C97121"/>
    <w:rPr>
      <w:rFonts w:ascii="Arial" w:hAnsi="Arial" w:cs="Arial" w:hint="default"/>
      <w:sz w:val="22"/>
    </w:rPr>
  </w:style>
  <w:style w:type="paragraph" w:styleId="ListParagraph">
    <w:name w:val="List Paragraph"/>
    <w:basedOn w:val="Normal"/>
    <w:uiPriority w:val="34"/>
    <w:qFormat/>
    <w:rsid w:val="00563243"/>
    <w:pPr>
      <w:ind w:left="720"/>
      <w:contextualSpacing/>
    </w:pPr>
  </w:style>
  <w:style w:type="paragraph" w:styleId="PlainText">
    <w:name w:val="Plain Text"/>
    <w:basedOn w:val="Normal"/>
    <w:link w:val="PlainTextChar"/>
    <w:uiPriority w:val="99"/>
    <w:unhideWhenUsed/>
    <w:rsid w:val="00563243"/>
    <w:pPr>
      <w:overflowPunct/>
      <w:autoSpaceDE/>
      <w:autoSpaceDN/>
      <w:adjustRightInd/>
      <w:textAlignment w:val="auto"/>
    </w:pPr>
    <w:rPr>
      <w:rFonts w:ascii="Courier New" w:eastAsia="Times" w:hAnsi="Courier New"/>
      <w:lang w:eastAsia="en-GB"/>
    </w:rPr>
  </w:style>
  <w:style w:type="character" w:customStyle="1" w:styleId="PlainTextChar">
    <w:name w:val="Plain Text Char"/>
    <w:basedOn w:val="DefaultParagraphFont"/>
    <w:link w:val="PlainText"/>
    <w:uiPriority w:val="99"/>
    <w:rsid w:val="00563243"/>
    <w:rPr>
      <w:rFonts w:ascii="Courier New" w:eastAsia="Times" w:hAnsi="Courier New"/>
    </w:rPr>
  </w:style>
  <w:style w:type="character" w:styleId="CommentReference">
    <w:name w:val="annotation reference"/>
    <w:basedOn w:val="DefaultParagraphFont"/>
    <w:semiHidden/>
    <w:unhideWhenUsed/>
    <w:rsid w:val="004527DD"/>
    <w:rPr>
      <w:sz w:val="16"/>
      <w:szCs w:val="16"/>
    </w:rPr>
  </w:style>
  <w:style w:type="paragraph" w:styleId="CommentText">
    <w:name w:val="annotation text"/>
    <w:basedOn w:val="Normal"/>
    <w:link w:val="CommentTextChar"/>
    <w:semiHidden/>
    <w:unhideWhenUsed/>
    <w:rsid w:val="004527DD"/>
  </w:style>
  <w:style w:type="character" w:customStyle="1" w:styleId="CommentTextChar">
    <w:name w:val="Comment Text Char"/>
    <w:basedOn w:val="DefaultParagraphFont"/>
    <w:link w:val="CommentText"/>
    <w:semiHidden/>
    <w:rsid w:val="004527DD"/>
    <w:rPr>
      <w:lang w:eastAsia="en-US"/>
    </w:rPr>
  </w:style>
  <w:style w:type="paragraph" w:styleId="CommentSubject">
    <w:name w:val="annotation subject"/>
    <w:basedOn w:val="CommentText"/>
    <w:next w:val="CommentText"/>
    <w:link w:val="CommentSubjectChar"/>
    <w:semiHidden/>
    <w:unhideWhenUsed/>
    <w:rsid w:val="004527DD"/>
    <w:rPr>
      <w:b/>
      <w:bCs/>
    </w:rPr>
  </w:style>
  <w:style w:type="character" w:customStyle="1" w:styleId="CommentSubjectChar">
    <w:name w:val="Comment Subject Char"/>
    <w:basedOn w:val="CommentTextChar"/>
    <w:link w:val="CommentSubject"/>
    <w:semiHidden/>
    <w:rsid w:val="004527D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70967">
      <w:bodyDiv w:val="1"/>
      <w:marLeft w:val="0"/>
      <w:marRight w:val="0"/>
      <w:marTop w:val="0"/>
      <w:marBottom w:val="0"/>
      <w:divBdr>
        <w:top w:val="none" w:sz="0" w:space="0" w:color="auto"/>
        <w:left w:val="none" w:sz="0" w:space="0" w:color="auto"/>
        <w:bottom w:val="none" w:sz="0" w:space="0" w:color="auto"/>
        <w:right w:val="none" w:sz="0" w:space="0" w:color="auto"/>
      </w:divBdr>
    </w:div>
    <w:div w:id="12995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6662FC8F86A0E64193771BCBA798249B" ma:contentTypeVersion="0" ma:contentTypeDescription="Fill out this form." ma:contentTypeScope="" ma:versionID="1e034da1f0a73732a5a99b4de22b6a67">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92C5E-1894-42D8-BE40-417747CF5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68CC12-D9C1-4675-84BE-C2D5374EED94}">
  <ds:schemaRefs>
    <ds:schemaRef ds:uri="http://schemas.microsoft.com/sharepoint/v3/contenttype/forms"/>
  </ds:schemaRefs>
</ds:datastoreItem>
</file>

<file path=customXml/itemProps3.xml><?xml version="1.0" encoding="utf-8"?>
<ds:datastoreItem xmlns:ds="http://schemas.openxmlformats.org/officeDocument/2006/customXml" ds:itemID="{3BCEABED-B8AE-40F2-B935-A63F54775ACE}">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24513B7-8D78-42DB-BD7F-2BB853ED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Department of Design, Manufacturing and Engineering Management</vt:lpstr>
    </vt:vector>
  </TitlesOfParts>
  <Company>DMEM, Strathclyde University.</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Design, Manufacturing and Engineering Management</dc:title>
  <dc:creator>DMEM</dc:creator>
  <cp:lastModifiedBy>Brian</cp:lastModifiedBy>
  <cp:revision>2</cp:revision>
  <cp:lastPrinted>2017-09-14T10:59:00Z</cp:lastPrinted>
  <dcterms:created xsi:type="dcterms:W3CDTF">2021-08-06T13:18:00Z</dcterms:created>
  <dcterms:modified xsi:type="dcterms:W3CDTF">2021-08-06T13:18:00Z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0x010101006662FC8F86A0E64193771BCBA798249B</vt:lpwstr>
  </property>
</Properties>
</file>